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FDA9A" w14:textId="77777777" w:rsidR="009C45FA" w:rsidRPr="00DA5613" w:rsidRDefault="009C45FA" w:rsidP="009C45FA">
      <w:pPr>
        <w:pStyle w:val="CaptionTitle"/>
        <w:rPr>
          <w:rFonts w:asciiTheme="minorHAnsi" w:hAnsiTheme="minorHAnsi" w:cstheme="minorHAnsi"/>
        </w:rPr>
      </w:pPr>
      <w:bookmarkStart w:id="0" w:name="_GoBack"/>
      <w:bookmarkEnd w:id="0"/>
      <w:r w:rsidRPr="00DA5613">
        <w:rPr>
          <w:rFonts w:asciiTheme="minorHAnsi" w:hAnsiTheme="minorHAnsi" w:cstheme="minorHAnsi"/>
        </w:rPr>
        <w:t>United States District Court</w:t>
      </w:r>
    </w:p>
    <w:p w14:paraId="69D2154B" w14:textId="77777777" w:rsidR="009C45FA" w:rsidRPr="00DA5613" w:rsidRDefault="009C45FA" w:rsidP="009C45FA">
      <w:pPr>
        <w:pStyle w:val="CaptionTitle"/>
        <w:rPr>
          <w:rFonts w:asciiTheme="minorHAnsi" w:hAnsiTheme="minorHAnsi" w:cstheme="minorHAnsi"/>
          <w:color w:val="000000" w:themeColor="text1"/>
        </w:rPr>
      </w:pPr>
      <w:r w:rsidRPr="00DA5613">
        <w:rPr>
          <w:rFonts w:asciiTheme="minorHAnsi" w:hAnsiTheme="minorHAnsi" w:cstheme="minorHAnsi"/>
        </w:rPr>
        <w:t xml:space="preserve">FOR THE </w:t>
      </w:r>
      <w:r w:rsidRPr="00DA5613">
        <w:rPr>
          <w:rFonts w:asciiTheme="minorHAnsi" w:hAnsiTheme="minorHAnsi" w:cstheme="minorHAnsi"/>
          <w:color w:val="000000" w:themeColor="text1"/>
        </w:rPr>
        <w:t>Western District of TeXAS</w:t>
      </w:r>
    </w:p>
    <w:p w14:paraId="3B87C5CC" w14:textId="77777777" w:rsidR="009C45FA" w:rsidRPr="00DA5613" w:rsidRDefault="009C45FA" w:rsidP="009C45FA">
      <w:pPr>
        <w:pStyle w:val="CaptionTitle"/>
        <w:rPr>
          <w:rFonts w:asciiTheme="minorHAnsi" w:hAnsiTheme="minorHAnsi" w:cstheme="minorHAnsi"/>
          <w:color w:val="000000" w:themeColor="text1"/>
        </w:rPr>
      </w:pPr>
      <w:r w:rsidRPr="00DA5613">
        <w:rPr>
          <w:rFonts w:asciiTheme="minorHAnsi" w:hAnsiTheme="minorHAnsi" w:cstheme="minorHAnsi"/>
          <w:color w:val="000000" w:themeColor="text1"/>
        </w:rPr>
        <w:t>Austin DivisIon</w:t>
      </w:r>
    </w:p>
    <w:tbl>
      <w:tblPr>
        <w:tblW w:w="9360" w:type="dxa"/>
        <w:tblLayout w:type="fixed"/>
        <w:tblCellMar>
          <w:left w:w="0" w:type="dxa"/>
          <w:right w:w="0" w:type="dxa"/>
        </w:tblCellMar>
        <w:tblLook w:val="04A0" w:firstRow="1" w:lastRow="0" w:firstColumn="1" w:lastColumn="0" w:noHBand="0" w:noVBand="1"/>
      </w:tblPr>
      <w:tblGrid>
        <w:gridCol w:w="4680"/>
        <w:gridCol w:w="360"/>
        <w:gridCol w:w="4320"/>
      </w:tblGrid>
      <w:tr w:rsidR="009C45FA" w:rsidRPr="00DA5613" w14:paraId="28FB552E" w14:textId="77777777" w:rsidTr="009C45FA">
        <w:tc>
          <w:tcPr>
            <w:tcW w:w="4680" w:type="dxa"/>
          </w:tcPr>
          <w:p w14:paraId="62BBFDFF" w14:textId="77777777" w:rsidR="009C45FA" w:rsidRPr="00DA5613" w:rsidRDefault="009C45FA">
            <w:pPr>
              <w:tabs>
                <w:tab w:val="left" w:pos="4680"/>
              </w:tabs>
              <w:rPr>
                <w:rFonts w:asciiTheme="minorHAnsi" w:hAnsiTheme="minorHAnsi" w:cstheme="minorHAnsi"/>
                <w:color w:val="000000"/>
              </w:rPr>
            </w:pPr>
            <w:r w:rsidRPr="00DA5613">
              <w:rPr>
                <w:rFonts w:asciiTheme="minorHAnsi" w:hAnsiTheme="minorHAnsi" w:cstheme="minorHAnsi"/>
              </w:rPr>
              <w:t>E.T., by and through her parents and next friends; J.R., by and through her parents and next friends; H.M., by and through her parents and next friends; E.S., by and through her parents and next friends; M.P., by and through her parents and next friends; S.P., by and through her parents and next friends; and A.M., by and through her parents and next friends.</w:t>
            </w:r>
          </w:p>
          <w:p w14:paraId="610C0623" w14:textId="77777777" w:rsidR="009C45FA" w:rsidRPr="00DA5613" w:rsidRDefault="009C45FA">
            <w:pPr>
              <w:tabs>
                <w:tab w:val="left" w:pos="4680"/>
              </w:tabs>
              <w:rPr>
                <w:rFonts w:asciiTheme="minorHAnsi" w:hAnsiTheme="minorHAnsi" w:cstheme="minorHAnsi"/>
              </w:rPr>
            </w:pPr>
          </w:p>
          <w:p w14:paraId="25545923" w14:textId="77777777" w:rsidR="009C45FA" w:rsidRPr="00DA5613" w:rsidRDefault="00BF3A46" w:rsidP="0052109B">
            <w:pPr>
              <w:spacing w:after="240"/>
              <w:ind w:left="720"/>
              <w:rPr>
                <w:rFonts w:asciiTheme="minorHAnsi" w:hAnsiTheme="minorHAnsi" w:cstheme="minorHAnsi"/>
              </w:rPr>
            </w:pPr>
            <w:sdt>
              <w:sdtPr>
                <w:rPr>
                  <w:rFonts w:asciiTheme="minorHAnsi" w:hAnsiTheme="minorHAnsi" w:cstheme="minorHAnsi"/>
                </w:rPr>
                <w:alias w:val="Plaintiff Type"/>
                <w:tag w:val="Plaintiff Type"/>
                <w:id w:val="627903831"/>
                <w:placeholder>
                  <w:docPart w:val="281AB54A3B314EB788BA79E518114453"/>
                </w:placeholder>
                <w:dropDownList>
                  <w:listItem w:value="Choose an item."/>
                  <w:listItem w:displayText="Plaintiff," w:value="Plaintiff,"/>
                  <w:listItem w:displayText="Plaintiffs," w:value="Plaintiffs,"/>
                  <w:listItem w:displayText="Petitioner," w:value="Petitioner,"/>
                  <w:listItem w:displayText="Petitioners," w:value="Petitioners,"/>
                  <w:listItem w:displayText="Complainant," w:value="Complainant,"/>
                  <w:listItem w:displayText="Complainants," w:value="Complainants,"/>
                  <w:listItem w:displayText="Cross-Complainant," w:value="Cross-Complainant,"/>
                  <w:listItem w:displayText="Cross-Complainants," w:value="Cross-Complainants,"/>
                </w:dropDownList>
              </w:sdtPr>
              <w:sdtEndPr/>
              <w:sdtContent>
                <w:r w:rsidR="009C45FA" w:rsidRPr="00DA5613">
                  <w:rPr>
                    <w:rFonts w:asciiTheme="minorHAnsi" w:hAnsiTheme="minorHAnsi" w:cstheme="minorHAnsi"/>
                  </w:rPr>
                  <w:t>Plaintiffs,</w:t>
                </w:r>
              </w:sdtContent>
            </w:sdt>
          </w:p>
          <w:p w14:paraId="2FEC6730" w14:textId="77777777" w:rsidR="009C45FA" w:rsidRPr="00DA5613" w:rsidRDefault="00BF3A46" w:rsidP="0052109B">
            <w:pPr>
              <w:spacing w:after="240"/>
              <w:ind w:left="720"/>
              <w:rPr>
                <w:rFonts w:asciiTheme="minorHAnsi" w:hAnsiTheme="minorHAnsi" w:cstheme="minorHAnsi"/>
              </w:rPr>
            </w:pPr>
            <w:sdt>
              <w:sdtPr>
                <w:rPr>
                  <w:rFonts w:asciiTheme="minorHAnsi" w:hAnsiTheme="minorHAnsi" w:cstheme="minorHAnsi"/>
                </w:rPr>
                <w:alias w:val="vs/against"/>
                <w:tag w:val="vs/against"/>
                <w:id w:val="698650754"/>
                <w:placeholder>
                  <w:docPart w:val="9EDBFB6BACA041B1A49F5EE1DA02130A"/>
                </w:placeholder>
                <w:dropDownList>
                  <w:listItem w:value="Choose an item."/>
                  <w:listItem w:displayText="vs." w:value="vs."/>
                  <w:listItem w:displayText="v." w:value="v."/>
                  <w:listItem w:displayText="versus" w:value="versus"/>
                  <w:listItem w:displayText="against" w:value="against"/>
                  <w:listItem w:displayText="-against-" w:value="-against-"/>
                </w:dropDownList>
              </w:sdtPr>
              <w:sdtEndPr/>
              <w:sdtContent>
                <w:r w:rsidR="009C45FA" w:rsidRPr="00DA5613">
                  <w:rPr>
                    <w:rFonts w:asciiTheme="minorHAnsi" w:hAnsiTheme="minorHAnsi" w:cstheme="minorHAnsi"/>
                  </w:rPr>
                  <w:t>v.</w:t>
                </w:r>
              </w:sdtContent>
            </w:sdt>
          </w:p>
          <w:p w14:paraId="1B3F5D41" w14:textId="23495877" w:rsidR="009C45FA" w:rsidRDefault="009C45FA">
            <w:pPr>
              <w:rPr>
                <w:rFonts w:asciiTheme="minorHAnsi" w:hAnsiTheme="minorHAnsi" w:cstheme="minorHAnsi"/>
              </w:rPr>
            </w:pPr>
            <w:r w:rsidRPr="00DA5613">
              <w:rPr>
                <w:rFonts w:asciiTheme="minorHAnsi" w:hAnsiTheme="minorHAnsi" w:cstheme="minorHAnsi"/>
              </w:rPr>
              <w:t>MIKE MORATH, in his official capacity as the COMMISSIONER of the TEXAS EDUCATION AGENCY; the TEXAS EDUCATION AGENCY; and ATTORNEY GENERAL KENNETH PAXTON, in his official capacity as ATTORNEY GENERAL OF TEXAS,</w:t>
            </w:r>
          </w:p>
          <w:p w14:paraId="4FD382F4" w14:textId="77777777" w:rsidR="00EC0F84" w:rsidRPr="00DA5613" w:rsidRDefault="00EC0F84">
            <w:pPr>
              <w:rPr>
                <w:rFonts w:asciiTheme="minorHAnsi" w:hAnsiTheme="minorHAnsi" w:cstheme="minorHAnsi"/>
              </w:rPr>
            </w:pPr>
          </w:p>
          <w:p w14:paraId="68E93EA8" w14:textId="77777777" w:rsidR="009C45FA" w:rsidRPr="00DA5613" w:rsidRDefault="00BF3A46">
            <w:pPr>
              <w:pStyle w:val="Parties"/>
              <w:ind w:left="720"/>
              <w:rPr>
                <w:rFonts w:asciiTheme="minorHAnsi" w:hAnsiTheme="minorHAnsi" w:cstheme="minorHAnsi"/>
              </w:rPr>
            </w:pPr>
            <w:sdt>
              <w:sdtPr>
                <w:rPr>
                  <w:rFonts w:asciiTheme="minorHAnsi" w:hAnsiTheme="minorHAnsi" w:cstheme="minorHAnsi"/>
                </w:rPr>
                <w:alias w:val="Defendant Type"/>
                <w:tag w:val="Defendant Type"/>
                <w:id w:val="698650777"/>
                <w:placeholder>
                  <w:docPart w:val="A66BAFA7F28F4E25AC8CE95D45988916"/>
                </w:placeholder>
                <w:dropDownList>
                  <w:listItem w:value="Choose an item."/>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dropDownList>
              </w:sdtPr>
              <w:sdtEndPr/>
              <w:sdtContent>
                <w:r w:rsidR="009C45FA" w:rsidRPr="00DA5613">
                  <w:rPr>
                    <w:rFonts w:asciiTheme="minorHAnsi" w:hAnsiTheme="minorHAnsi" w:cstheme="minorHAnsi"/>
                  </w:rPr>
                  <w:t>Defendants.</w:t>
                </w:r>
              </w:sdtContent>
            </w:sdt>
          </w:p>
        </w:tc>
        <w:tc>
          <w:tcPr>
            <w:tcW w:w="360" w:type="dxa"/>
          </w:tcPr>
          <w:p w14:paraId="5715AE23"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75C65F43"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5641726B"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27CF4E10"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56F27176"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2DF797CE"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0E878ECF"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017E4DEE"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658055D0"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0768E8CE"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5EB7D66A" w14:textId="77777777" w:rsidR="009C45FA" w:rsidRPr="00DA5613" w:rsidRDefault="009C45FA">
            <w:pPr>
              <w:rPr>
                <w:rFonts w:asciiTheme="minorHAnsi" w:hAnsiTheme="minorHAnsi" w:cstheme="minorHAnsi"/>
              </w:rPr>
            </w:pPr>
            <w:r w:rsidRPr="00DA5613">
              <w:rPr>
                <w:rFonts w:asciiTheme="minorHAnsi" w:hAnsiTheme="minorHAnsi" w:cstheme="minorHAnsi"/>
              </w:rPr>
              <w:t xml:space="preserve">) </w:t>
            </w:r>
          </w:p>
          <w:p w14:paraId="4DA98775"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7BBE835E"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56C2B49E"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0697FAD4"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0F7E39EF"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78815206" w14:textId="77777777" w:rsidR="009C45FA" w:rsidRPr="00DA5613" w:rsidRDefault="009C45FA">
            <w:pPr>
              <w:rPr>
                <w:rFonts w:asciiTheme="minorHAnsi" w:hAnsiTheme="minorHAnsi" w:cstheme="minorHAnsi"/>
              </w:rPr>
            </w:pPr>
            <w:r w:rsidRPr="00DA5613">
              <w:rPr>
                <w:rFonts w:asciiTheme="minorHAnsi" w:hAnsiTheme="minorHAnsi" w:cstheme="minorHAnsi"/>
              </w:rPr>
              <w:t>)</w:t>
            </w:r>
          </w:p>
          <w:p w14:paraId="1434A5F8" w14:textId="19CAC95B" w:rsidR="009C45FA" w:rsidRPr="00DA5613" w:rsidRDefault="009C45FA">
            <w:pPr>
              <w:rPr>
                <w:rFonts w:asciiTheme="minorHAnsi" w:hAnsiTheme="minorHAnsi" w:cstheme="minorHAnsi"/>
              </w:rPr>
            </w:pPr>
            <w:r w:rsidRPr="00DA5613">
              <w:rPr>
                <w:rFonts w:asciiTheme="minorHAnsi" w:hAnsiTheme="minorHAnsi" w:cstheme="minorHAnsi"/>
              </w:rPr>
              <w:t>)</w:t>
            </w:r>
            <w:r w:rsidRPr="00DA5613">
              <w:rPr>
                <w:rFonts w:asciiTheme="minorHAnsi" w:hAnsiTheme="minorHAnsi" w:cstheme="minorHAnsi"/>
              </w:rPr>
              <w:br/>
            </w:r>
            <w:r w:rsidR="00EC0F84" w:rsidRPr="00DA5613">
              <w:rPr>
                <w:rFonts w:asciiTheme="minorHAnsi" w:hAnsiTheme="minorHAnsi" w:cstheme="minorHAnsi"/>
              </w:rPr>
              <w:t xml:space="preserve">) </w:t>
            </w:r>
            <w:r w:rsidR="00EC0F84">
              <w:rPr>
                <w:rFonts w:asciiTheme="minorHAnsi" w:hAnsiTheme="minorHAnsi" w:cstheme="minorHAnsi"/>
              </w:rPr>
              <w:br/>
            </w:r>
            <w:r w:rsidR="00EC0F84" w:rsidRPr="00DA5613">
              <w:rPr>
                <w:rFonts w:asciiTheme="minorHAnsi" w:hAnsiTheme="minorHAnsi" w:cstheme="minorHAnsi"/>
              </w:rPr>
              <w:t>)</w:t>
            </w:r>
            <w:r w:rsidR="00EC0F84">
              <w:rPr>
                <w:rFonts w:asciiTheme="minorHAnsi" w:hAnsiTheme="minorHAnsi" w:cstheme="minorHAnsi"/>
              </w:rPr>
              <w:br/>
            </w:r>
            <w:r w:rsidRPr="00DA5613">
              <w:rPr>
                <w:rFonts w:asciiTheme="minorHAnsi" w:hAnsiTheme="minorHAnsi" w:cstheme="minorHAnsi"/>
              </w:rPr>
              <w:t>)</w:t>
            </w:r>
            <w:r w:rsidRPr="00DA5613">
              <w:rPr>
                <w:rFonts w:asciiTheme="minorHAnsi" w:hAnsiTheme="minorHAnsi" w:cstheme="minorHAnsi"/>
              </w:rPr>
              <w:br/>
              <w:t>)</w:t>
            </w:r>
          </w:p>
          <w:p w14:paraId="42CFE340" w14:textId="77777777" w:rsidR="009C45FA" w:rsidRPr="00DA5613" w:rsidRDefault="009C45FA">
            <w:pPr>
              <w:rPr>
                <w:rFonts w:asciiTheme="minorHAnsi" w:hAnsiTheme="minorHAnsi" w:cstheme="minorHAnsi"/>
              </w:rPr>
            </w:pPr>
          </w:p>
        </w:tc>
        <w:tc>
          <w:tcPr>
            <w:tcW w:w="4320" w:type="dxa"/>
          </w:tcPr>
          <w:p w14:paraId="3C4DE504" w14:textId="77777777" w:rsidR="009C45FA" w:rsidRPr="00DA5613" w:rsidRDefault="009C45FA">
            <w:pPr>
              <w:rPr>
                <w:rFonts w:asciiTheme="minorHAnsi" w:hAnsiTheme="minorHAnsi" w:cstheme="minorHAnsi"/>
                <w:color w:val="000000"/>
              </w:rPr>
            </w:pPr>
          </w:p>
          <w:p w14:paraId="1357B155" w14:textId="77777777" w:rsidR="009C45FA" w:rsidRPr="00DA5613" w:rsidRDefault="009C45FA">
            <w:pPr>
              <w:rPr>
                <w:rFonts w:asciiTheme="minorHAnsi" w:hAnsiTheme="minorHAnsi" w:cstheme="minorHAnsi"/>
              </w:rPr>
            </w:pPr>
          </w:p>
          <w:p w14:paraId="263ACC6B" w14:textId="77777777" w:rsidR="009C45FA" w:rsidRPr="00DA5613" w:rsidRDefault="009C45FA">
            <w:pPr>
              <w:rPr>
                <w:rFonts w:asciiTheme="minorHAnsi" w:hAnsiTheme="minorHAnsi" w:cstheme="minorHAnsi"/>
              </w:rPr>
            </w:pPr>
          </w:p>
          <w:p w14:paraId="38C0E3BD" w14:textId="77777777" w:rsidR="009C45FA" w:rsidRPr="00DA5613" w:rsidRDefault="009C45FA">
            <w:pPr>
              <w:rPr>
                <w:rFonts w:asciiTheme="minorHAnsi" w:hAnsiTheme="minorHAnsi" w:cstheme="minorHAnsi"/>
              </w:rPr>
            </w:pPr>
          </w:p>
          <w:p w14:paraId="5AED8C58" w14:textId="77777777" w:rsidR="009C45FA" w:rsidRPr="00DA5613" w:rsidRDefault="009C45FA">
            <w:pPr>
              <w:rPr>
                <w:rFonts w:asciiTheme="minorHAnsi" w:hAnsiTheme="minorHAnsi" w:cstheme="minorHAnsi"/>
              </w:rPr>
            </w:pPr>
          </w:p>
          <w:p w14:paraId="662DFF22" w14:textId="77777777" w:rsidR="009C45FA" w:rsidRPr="00DA5613" w:rsidRDefault="009C45FA">
            <w:pPr>
              <w:rPr>
                <w:rFonts w:asciiTheme="minorHAnsi" w:hAnsiTheme="minorHAnsi" w:cstheme="minorHAnsi"/>
              </w:rPr>
            </w:pPr>
          </w:p>
          <w:p w14:paraId="0DA19C2A" w14:textId="77777777" w:rsidR="009C45FA" w:rsidRPr="00DA5613" w:rsidRDefault="009C45FA">
            <w:pPr>
              <w:rPr>
                <w:rFonts w:asciiTheme="minorHAnsi" w:hAnsiTheme="minorHAnsi" w:cstheme="minorHAnsi"/>
              </w:rPr>
            </w:pPr>
            <w:r w:rsidRPr="00DA5613">
              <w:rPr>
                <w:rFonts w:asciiTheme="minorHAnsi" w:hAnsiTheme="minorHAnsi" w:cstheme="minorHAnsi"/>
              </w:rPr>
              <w:t>Civil Action No. 1:21-CV-00717-LY</w:t>
            </w:r>
          </w:p>
          <w:p w14:paraId="0BF09E73" w14:textId="77777777" w:rsidR="009C45FA" w:rsidRPr="00DA5613" w:rsidRDefault="009C45FA">
            <w:pPr>
              <w:rPr>
                <w:rFonts w:asciiTheme="minorHAnsi" w:hAnsiTheme="minorHAnsi" w:cstheme="minorHAnsi"/>
              </w:rPr>
            </w:pPr>
          </w:p>
        </w:tc>
      </w:tr>
    </w:tbl>
    <w:p w14:paraId="74DB94B2" w14:textId="77777777" w:rsidR="00C8390A" w:rsidRPr="00DA5613" w:rsidRDefault="00C8390A" w:rsidP="00C8390A">
      <w:pPr>
        <w:pStyle w:val="pleadingtls1"/>
      </w:pPr>
      <w:bookmarkStart w:id="1" w:name="_Toc83814450"/>
      <w:bookmarkStart w:id="2" w:name="_Toc83816589"/>
      <w:bookmarkStart w:id="3" w:name="_Toc83818596"/>
      <w:bookmarkStart w:id="4" w:name="_Toc83846165"/>
      <w:r w:rsidRPr="00DA5613">
        <w:t>PLAINTIFFS’ TRIAL BRIEF</w:t>
      </w:r>
      <w:bookmarkEnd w:id="1"/>
      <w:bookmarkEnd w:id="2"/>
      <w:bookmarkEnd w:id="3"/>
      <w:bookmarkEnd w:id="4"/>
    </w:p>
    <w:p w14:paraId="1FAA4A4E" w14:textId="2E6F657E" w:rsidR="00C8390A" w:rsidRDefault="00C8390A" w:rsidP="003D21E7">
      <w:pPr>
        <w:spacing w:line="480" w:lineRule="auto"/>
        <w:ind w:left="1080" w:hanging="720"/>
        <w:rPr>
          <w:rFonts w:asciiTheme="minorHAnsi" w:hAnsiTheme="minorHAnsi" w:cstheme="minorHAnsi"/>
        </w:rPr>
        <w:sectPr w:rsidR="00C8390A" w:rsidSect="00EC4CE6">
          <w:footerReference w:type="default" r:id="rId11"/>
          <w:pgSz w:w="12240" w:h="15840" w:code="1"/>
          <w:pgMar w:top="1440" w:right="1440" w:bottom="1440" w:left="1440" w:header="720" w:footer="720" w:gutter="0"/>
          <w:cols w:space="720"/>
          <w:titlePg/>
          <w:docGrid w:linePitch="360"/>
        </w:sectPr>
      </w:pPr>
    </w:p>
    <w:p w14:paraId="3B9EE84A" w14:textId="1C57394F" w:rsidR="00A01747" w:rsidRPr="00626524" w:rsidRDefault="00626524" w:rsidP="00626524">
      <w:pPr>
        <w:spacing w:line="480" w:lineRule="auto"/>
        <w:ind w:left="1080" w:hanging="720"/>
        <w:jc w:val="center"/>
        <w:rPr>
          <w:rFonts w:asciiTheme="minorHAnsi" w:hAnsiTheme="minorHAnsi" w:cstheme="minorHAnsi"/>
          <w:b/>
          <w:bCs/>
        </w:rPr>
      </w:pPr>
      <w:r>
        <w:rPr>
          <w:rFonts w:asciiTheme="minorHAnsi" w:hAnsiTheme="minorHAnsi" w:cstheme="minorHAnsi"/>
          <w:b/>
          <w:bCs/>
        </w:rPr>
        <w:lastRenderedPageBreak/>
        <w:t>TABLE OF CONTENTS</w:t>
      </w:r>
    </w:p>
    <w:p w14:paraId="3362A99D" w14:textId="692DBEF6" w:rsidR="008D6AEF" w:rsidRDefault="00C8390A">
      <w:pPr>
        <w:pStyle w:val="TOC1"/>
        <w:tabs>
          <w:tab w:val="right" w:leader="dot" w:pos="9350"/>
        </w:tabs>
        <w:rPr>
          <w:rFonts w:asciiTheme="minorHAnsi" w:eastAsiaTheme="minorEastAsia" w:hAnsiTheme="minorHAnsi"/>
          <w:noProof/>
          <w:color w:val="auto"/>
          <w:sz w:val="22"/>
          <w:szCs w:val="22"/>
        </w:rPr>
      </w:pPr>
      <w:r>
        <w:fldChar w:fldCharType="begin"/>
      </w:r>
      <w:r>
        <w:instrText xml:space="preserve"> TOC \f C \t "Heading 1,1, pleadingtls_1,1, Heading 2,2, pleadingtls_2,2, Heading 3,3, pleadingtls_3,3, Heading 4,4, pleadingtls_4,4, Heading 5,5, pleadingtls_5,5, Heading 6,6, pleadingtls_6,6" </w:instrText>
      </w:r>
      <w:r>
        <w:fldChar w:fldCharType="separate"/>
      </w:r>
      <w:r w:rsidR="008D6AEF">
        <w:rPr>
          <w:noProof/>
        </w:rPr>
        <w:t>PLAINTIFFS’ TRIAL BRIEF</w:t>
      </w:r>
      <w:r w:rsidR="008D6AEF">
        <w:rPr>
          <w:noProof/>
        </w:rPr>
        <w:tab/>
      </w:r>
      <w:r w:rsidR="008D6AEF">
        <w:rPr>
          <w:noProof/>
        </w:rPr>
        <w:fldChar w:fldCharType="begin"/>
      </w:r>
      <w:r w:rsidR="008D6AEF">
        <w:rPr>
          <w:noProof/>
        </w:rPr>
        <w:instrText xml:space="preserve"> PAGEREF _Toc83846165 \h </w:instrText>
      </w:r>
      <w:r w:rsidR="008D6AEF">
        <w:rPr>
          <w:noProof/>
        </w:rPr>
      </w:r>
      <w:r w:rsidR="008D6AEF">
        <w:rPr>
          <w:noProof/>
        </w:rPr>
        <w:fldChar w:fldCharType="separate"/>
      </w:r>
      <w:r w:rsidR="008D6AEF">
        <w:rPr>
          <w:noProof/>
        </w:rPr>
        <w:t>1</w:t>
      </w:r>
      <w:r w:rsidR="008D6AEF">
        <w:rPr>
          <w:noProof/>
        </w:rPr>
        <w:fldChar w:fldCharType="end"/>
      </w:r>
    </w:p>
    <w:p w14:paraId="6B11C0C7" w14:textId="59B5648A" w:rsidR="008D6AEF" w:rsidRDefault="008D6AEF">
      <w:pPr>
        <w:pStyle w:val="TOC2"/>
        <w:rPr>
          <w:rFonts w:asciiTheme="minorHAnsi" w:eastAsiaTheme="minorEastAsia" w:hAnsiTheme="minorHAnsi"/>
          <w:noProof/>
          <w:color w:val="auto"/>
          <w:sz w:val="22"/>
          <w:szCs w:val="22"/>
        </w:rPr>
      </w:pPr>
      <w:r w:rsidRPr="002404E6">
        <w:rPr>
          <w:rFonts w:cs="Times New Roman"/>
          <w:noProof/>
        </w:rPr>
        <w:t>I.</w:t>
      </w:r>
      <w:r>
        <w:rPr>
          <w:rFonts w:asciiTheme="minorHAnsi" w:eastAsiaTheme="minorEastAsia" w:hAnsiTheme="minorHAnsi"/>
          <w:noProof/>
          <w:color w:val="auto"/>
          <w:sz w:val="22"/>
          <w:szCs w:val="22"/>
        </w:rPr>
        <w:tab/>
      </w:r>
      <w:r>
        <w:rPr>
          <w:noProof/>
        </w:rPr>
        <w:t>INTRODUCTION</w:t>
      </w:r>
      <w:r>
        <w:rPr>
          <w:noProof/>
        </w:rPr>
        <w:tab/>
      </w:r>
      <w:r>
        <w:rPr>
          <w:noProof/>
        </w:rPr>
        <w:fldChar w:fldCharType="begin"/>
      </w:r>
      <w:r>
        <w:rPr>
          <w:noProof/>
        </w:rPr>
        <w:instrText xml:space="preserve"> PAGEREF _Toc83846166 \h </w:instrText>
      </w:r>
      <w:r>
        <w:rPr>
          <w:noProof/>
        </w:rPr>
      </w:r>
      <w:r>
        <w:rPr>
          <w:noProof/>
        </w:rPr>
        <w:fldChar w:fldCharType="separate"/>
      </w:r>
      <w:r>
        <w:rPr>
          <w:noProof/>
        </w:rPr>
        <w:t>1</w:t>
      </w:r>
      <w:r>
        <w:rPr>
          <w:noProof/>
        </w:rPr>
        <w:fldChar w:fldCharType="end"/>
      </w:r>
    </w:p>
    <w:p w14:paraId="231D7CD8" w14:textId="459B62C4" w:rsidR="008D6AEF" w:rsidRDefault="008D6AEF">
      <w:pPr>
        <w:pStyle w:val="TOC2"/>
        <w:rPr>
          <w:rFonts w:asciiTheme="minorHAnsi" w:eastAsiaTheme="minorEastAsia" w:hAnsiTheme="minorHAnsi"/>
          <w:noProof/>
          <w:color w:val="auto"/>
          <w:sz w:val="22"/>
          <w:szCs w:val="22"/>
        </w:rPr>
      </w:pPr>
      <w:r w:rsidRPr="002404E6">
        <w:rPr>
          <w:rFonts w:cs="Times New Roman"/>
          <w:noProof/>
        </w:rPr>
        <w:t>II.</w:t>
      </w:r>
      <w:r>
        <w:rPr>
          <w:rFonts w:asciiTheme="minorHAnsi" w:eastAsiaTheme="minorEastAsia" w:hAnsiTheme="minorHAnsi"/>
          <w:noProof/>
          <w:color w:val="auto"/>
          <w:sz w:val="22"/>
          <w:szCs w:val="22"/>
        </w:rPr>
        <w:tab/>
      </w:r>
      <w:r>
        <w:rPr>
          <w:noProof/>
        </w:rPr>
        <w:t>FACTUAL BACKGROUND</w:t>
      </w:r>
      <w:r>
        <w:rPr>
          <w:noProof/>
        </w:rPr>
        <w:tab/>
      </w:r>
      <w:r>
        <w:rPr>
          <w:noProof/>
        </w:rPr>
        <w:fldChar w:fldCharType="begin"/>
      </w:r>
      <w:r>
        <w:rPr>
          <w:noProof/>
        </w:rPr>
        <w:instrText xml:space="preserve"> PAGEREF _Toc83846167 \h </w:instrText>
      </w:r>
      <w:r>
        <w:rPr>
          <w:noProof/>
        </w:rPr>
      </w:r>
      <w:r>
        <w:rPr>
          <w:noProof/>
        </w:rPr>
        <w:fldChar w:fldCharType="separate"/>
      </w:r>
      <w:r>
        <w:rPr>
          <w:noProof/>
        </w:rPr>
        <w:t>4</w:t>
      </w:r>
      <w:r>
        <w:rPr>
          <w:noProof/>
        </w:rPr>
        <w:fldChar w:fldCharType="end"/>
      </w:r>
    </w:p>
    <w:p w14:paraId="3D4B2956" w14:textId="20E05E6B"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A.</w:t>
      </w:r>
      <w:r>
        <w:rPr>
          <w:rFonts w:asciiTheme="minorHAnsi" w:eastAsiaTheme="minorEastAsia" w:hAnsiTheme="minorHAnsi"/>
          <w:noProof/>
          <w:color w:val="auto"/>
          <w:sz w:val="22"/>
          <w:szCs w:val="22"/>
        </w:rPr>
        <w:tab/>
      </w:r>
      <w:r>
        <w:rPr>
          <w:noProof/>
        </w:rPr>
        <w:t>The Governor issues Executive Order GA-38 on July 29, 2021, prohibiting public schools from implementing mask requirements for the 2021-2022 school year.</w:t>
      </w:r>
      <w:r>
        <w:rPr>
          <w:noProof/>
        </w:rPr>
        <w:tab/>
      </w:r>
      <w:r>
        <w:rPr>
          <w:noProof/>
        </w:rPr>
        <w:fldChar w:fldCharType="begin"/>
      </w:r>
      <w:r>
        <w:rPr>
          <w:noProof/>
        </w:rPr>
        <w:instrText xml:space="preserve"> PAGEREF _Toc83846168 \h </w:instrText>
      </w:r>
      <w:r>
        <w:rPr>
          <w:noProof/>
        </w:rPr>
      </w:r>
      <w:r>
        <w:rPr>
          <w:noProof/>
        </w:rPr>
        <w:fldChar w:fldCharType="separate"/>
      </w:r>
      <w:r>
        <w:rPr>
          <w:noProof/>
        </w:rPr>
        <w:t>4</w:t>
      </w:r>
      <w:r>
        <w:rPr>
          <w:noProof/>
        </w:rPr>
        <w:fldChar w:fldCharType="end"/>
      </w:r>
    </w:p>
    <w:p w14:paraId="077D8AEF" w14:textId="427F4EAE"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B.</w:t>
      </w:r>
      <w:r>
        <w:rPr>
          <w:rFonts w:asciiTheme="minorHAnsi" w:eastAsiaTheme="minorEastAsia" w:hAnsiTheme="minorHAnsi"/>
          <w:noProof/>
          <w:color w:val="auto"/>
          <w:sz w:val="22"/>
          <w:szCs w:val="22"/>
        </w:rPr>
        <w:tab/>
      </w:r>
      <w:r>
        <w:rPr>
          <w:noProof/>
        </w:rPr>
        <w:t>Plaintiffs are students with medical disabilities that place them at higher risk for contracting COVID-19 and/or experiencing severe illness due to the virus.</w:t>
      </w:r>
      <w:r>
        <w:rPr>
          <w:noProof/>
        </w:rPr>
        <w:tab/>
      </w:r>
      <w:r>
        <w:rPr>
          <w:noProof/>
        </w:rPr>
        <w:fldChar w:fldCharType="begin"/>
      </w:r>
      <w:r>
        <w:rPr>
          <w:noProof/>
        </w:rPr>
        <w:instrText xml:space="preserve"> PAGEREF _Toc83846169 \h </w:instrText>
      </w:r>
      <w:r>
        <w:rPr>
          <w:noProof/>
        </w:rPr>
      </w:r>
      <w:r>
        <w:rPr>
          <w:noProof/>
        </w:rPr>
        <w:fldChar w:fldCharType="separate"/>
      </w:r>
      <w:r>
        <w:rPr>
          <w:noProof/>
        </w:rPr>
        <w:t>7</w:t>
      </w:r>
      <w:r>
        <w:rPr>
          <w:noProof/>
        </w:rPr>
        <w:fldChar w:fldCharType="end"/>
      </w:r>
    </w:p>
    <w:p w14:paraId="76479942" w14:textId="00368EA3"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C.</w:t>
      </w:r>
      <w:r>
        <w:rPr>
          <w:rFonts w:asciiTheme="minorHAnsi" w:eastAsiaTheme="minorEastAsia" w:hAnsiTheme="minorHAnsi"/>
          <w:noProof/>
          <w:color w:val="auto"/>
          <w:sz w:val="22"/>
          <w:szCs w:val="22"/>
        </w:rPr>
        <w:tab/>
      </w:r>
      <w:r>
        <w:rPr>
          <w:noProof/>
        </w:rPr>
        <w:t>Defendants’ Enforcement of Executive Order GA-38 has deprived Plaintiffs of meaningful access to their public schools.</w:t>
      </w:r>
      <w:r>
        <w:rPr>
          <w:noProof/>
        </w:rPr>
        <w:tab/>
      </w:r>
      <w:r>
        <w:rPr>
          <w:noProof/>
        </w:rPr>
        <w:fldChar w:fldCharType="begin"/>
      </w:r>
      <w:r>
        <w:rPr>
          <w:noProof/>
        </w:rPr>
        <w:instrText xml:space="preserve"> PAGEREF _Toc83846170 \h </w:instrText>
      </w:r>
      <w:r>
        <w:rPr>
          <w:noProof/>
        </w:rPr>
      </w:r>
      <w:r>
        <w:rPr>
          <w:noProof/>
        </w:rPr>
        <w:fldChar w:fldCharType="separate"/>
      </w:r>
      <w:r>
        <w:rPr>
          <w:noProof/>
        </w:rPr>
        <w:t>8</w:t>
      </w:r>
      <w:r>
        <w:rPr>
          <w:noProof/>
        </w:rPr>
        <w:fldChar w:fldCharType="end"/>
      </w:r>
    </w:p>
    <w:p w14:paraId="33CF8026" w14:textId="3175C601"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D.</w:t>
      </w:r>
      <w:r>
        <w:rPr>
          <w:rFonts w:asciiTheme="minorHAnsi" w:eastAsiaTheme="minorEastAsia" w:hAnsiTheme="minorHAnsi"/>
          <w:noProof/>
          <w:color w:val="auto"/>
          <w:sz w:val="22"/>
          <w:szCs w:val="22"/>
        </w:rPr>
        <w:tab/>
      </w:r>
      <w:r>
        <w:rPr>
          <w:noProof/>
        </w:rPr>
        <w:t>Defendants are engaged in extensive and active enforcement of GA-38, including litigation, despite claims they are not authorized to enforce it.</w:t>
      </w:r>
      <w:r>
        <w:rPr>
          <w:noProof/>
        </w:rPr>
        <w:tab/>
      </w:r>
      <w:r>
        <w:rPr>
          <w:noProof/>
        </w:rPr>
        <w:fldChar w:fldCharType="begin"/>
      </w:r>
      <w:r>
        <w:rPr>
          <w:noProof/>
        </w:rPr>
        <w:instrText xml:space="preserve"> PAGEREF _Toc83846171 \h </w:instrText>
      </w:r>
      <w:r>
        <w:rPr>
          <w:noProof/>
        </w:rPr>
      </w:r>
      <w:r>
        <w:rPr>
          <w:noProof/>
        </w:rPr>
        <w:fldChar w:fldCharType="separate"/>
      </w:r>
      <w:r>
        <w:rPr>
          <w:noProof/>
        </w:rPr>
        <w:t>13</w:t>
      </w:r>
      <w:r>
        <w:rPr>
          <w:noProof/>
        </w:rPr>
        <w:fldChar w:fldCharType="end"/>
      </w:r>
    </w:p>
    <w:p w14:paraId="3A73FF5B" w14:textId="3C50D97B" w:rsidR="008D6AEF" w:rsidRDefault="008D6AEF">
      <w:pPr>
        <w:pStyle w:val="TOC2"/>
        <w:rPr>
          <w:rFonts w:asciiTheme="minorHAnsi" w:eastAsiaTheme="minorEastAsia" w:hAnsiTheme="minorHAnsi"/>
          <w:noProof/>
          <w:color w:val="auto"/>
          <w:sz w:val="22"/>
          <w:szCs w:val="22"/>
        </w:rPr>
      </w:pPr>
      <w:r w:rsidRPr="002404E6">
        <w:rPr>
          <w:rFonts w:cs="Times New Roman"/>
          <w:noProof/>
        </w:rPr>
        <w:t>III.</w:t>
      </w:r>
      <w:r>
        <w:rPr>
          <w:rFonts w:asciiTheme="minorHAnsi" w:eastAsiaTheme="minorEastAsia" w:hAnsiTheme="minorHAnsi"/>
          <w:noProof/>
          <w:color w:val="auto"/>
          <w:sz w:val="22"/>
          <w:szCs w:val="22"/>
        </w:rPr>
        <w:tab/>
      </w:r>
      <w:r>
        <w:rPr>
          <w:noProof/>
        </w:rPr>
        <w:t>ARGUMENT &amp; AUTHORITIES</w:t>
      </w:r>
      <w:r>
        <w:rPr>
          <w:noProof/>
        </w:rPr>
        <w:tab/>
      </w:r>
      <w:r>
        <w:rPr>
          <w:noProof/>
        </w:rPr>
        <w:fldChar w:fldCharType="begin"/>
      </w:r>
      <w:r>
        <w:rPr>
          <w:noProof/>
        </w:rPr>
        <w:instrText xml:space="preserve"> PAGEREF _Toc83846172 \h </w:instrText>
      </w:r>
      <w:r>
        <w:rPr>
          <w:noProof/>
        </w:rPr>
      </w:r>
      <w:r>
        <w:rPr>
          <w:noProof/>
        </w:rPr>
        <w:fldChar w:fldCharType="separate"/>
      </w:r>
      <w:r>
        <w:rPr>
          <w:noProof/>
        </w:rPr>
        <w:t>22</w:t>
      </w:r>
      <w:r>
        <w:rPr>
          <w:noProof/>
        </w:rPr>
        <w:fldChar w:fldCharType="end"/>
      </w:r>
    </w:p>
    <w:p w14:paraId="0F181FD3" w14:textId="0CEEBCF0"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A.</w:t>
      </w:r>
      <w:r>
        <w:rPr>
          <w:rFonts w:asciiTheme="minorHAnsi" w:eastAsiaTheme="minorEastAsia" w:hAnsiTheme="minorHAnsi"/>
          <w:noProof/>
          <w:color w:val="auto"/>
          <w:sz w:val="22"/>
          <w:szCs w:val="22"/>
        </w:rPr>
        <w:tab/>
      </w:r>
      <w:r>
        <w:rPr>
          <w:noProof/>
        </w:rPr>
        <w:t>The Court has subject matter jurisdiction.</w:t>
      </w:r>
      <w:r>
        <w:rPr>
          <w:noProof/>
        </w:rPr>
        <w:tab/>
      </w:r>
      <w:r>
        <w:rPr>
          <w:noProof/>
        </w:rPr>
        <w:fldChar w:fldCharType="begin"/>
      </w:r>
      <w:r>
        <w:rPr>
          <w:noProof/>
        </w:rPr>
        <w:instrText xml:space="preserve"> PAGEREF _Toc83846173 \h </w:instrText>
      </w:r>
      <w:r>
        <w:rPr>
          <w:noProof/>
        </w:rPr>
      </w:r>
      <w:r>
        <w:rPr>
          <w:noProof/>
        </w:rPr>
        <w:fldChar w:fldCharType="separate"/>
      </w:r>
      <w:r>
        <w:rPr>
          <w:noProof/>
        </w:rPr>
        <w:t>22</w:t>
      </w:r>
      <w:r>
        <w:rPr>
          <w:noProof/>
        </w:rPr>
        <w:fldChar w:fldCharType="end"/>
      </w:r>
    </w:p>
    <w:p w14:paraId="2B89AC5C" w14:textId="5FD05899" w:rsidR="008D6AEF" w:rsidRDefault="008D6AEF">
      <w:pPr>
        <w:pStyle w:val="TOC4"/>
        <w:rPr>
          <w:rFonts w:asciiTheme="minorHAnsi" w:eastAsiaTheme="minorEastAsia" w:hAnsiTheme="minorHAnsi"/>
          <w:noProof/>
          <w:color w:val="auto"/>
          <w:sz w:val="22"/>
          <w:szCs w:val="22"/>
        </w:rPr>
      </w:pPr>
      <w:r w:rsidRPr="002404E6">
        <w:rPr>
          <w:rFonts w:cs="Times New Roman"/>
          <w:noProof/>
        </w:rPr>
        <w:t>1.</w:t>
      </w:r>
      <w:r>
        <w:rPr>
          <w:rFonts w:asciiTheme="minorHAnsi" w:eastAsiaTheme="minorEastAsia" w:hAnsiTheme="minorHAnsi"/>
          <w:noProof/>
          <w:color w:val="auto"/>
          <w:sz w:val="22"/>
          <w:szCs w:val="22"/>
        </w:rPr>
        <w:tab/>
      </w:r>
      <w:r>
        <w:rPr>
          <w:noProof/>
        </w:rPr>
        <w:t>For Plaintiffs’ two statutory claims—Section 504 and the ADA—sovereign immunity is not available as a defense.</w:t>
      </w:r>
      <w:r>
        <w:rPr>
          <w:noProof/>
        </w:rPr>
        <w:tab/>
      </w:r>
      <w:r>
        <w:rPr>
          <w:noProof/>
        </w:rPr>
        <w:fldChar w:fldCharType="begin"/>
      </w:r>
      <w:r>
        <w:rPr>
          <w:noProof/>
        </w:rPr>
        <w:instrText xml:space="preserve"> PAGEREF _Toc83846174 \h </w:instrText>
      </w:r>
      <w:r>
        <w:rPr>
          <w:noProof/>
        </w:rPr>
      </w:r>
      <w:r>
        <w:rPr>
          <w:noProof/>
        </w:rPr>
        <w:fldChar w:fldCharType="separate"/>
      </w:r>
      <w:r>
        <w:rPr>
          <w:noProof/>
        </w:rPr>
        <w:t>23</w:t>
      </w:r>
      <w:r>
        <w:rPr>
          <w:noProof/>
        </w:rPr>
        <w:fldChar w:fldCharType="end"/>
      </w:r>
    </w:p>
    <w:p w14:paraId="5BA5FC91" w14:textId="5EBF56E4" w:rsidR="008D6AEF" w:rsidRDefault="008D6AEF">
      <w:pPr>
        <w:pStyle w:val="TOC4"/>
        <w:rPr>
          <w:rFonts w:asciiTheme="minorHAnsi" w:eastAsiaTheme="minorEastAsia" w:hAnsiTheme="minorHAnsi"/>
          <w:noProof/>
          <w:color w:val="auto"/>
          <w:sz w:val="22"/>
          <w:szCs w:val="22"/>
        </w:rPr>
      </w:pPr>
      <w:r w:rsidRPr="002404E6">
        <w:rPr>
          <w:rFonts w:cs="Times New Roman"/>
          <w:noProof/>
        </w:rPr>
        <w:t>2.</w:t>
      </w:r>
      <w:r>
        <w:rPr>
          <w:rFonts w:asciiTheme="minorHAnsi" w:eastAsiaTheme="minorEastAsia" w:hAnsiTheme="minorHAnsi"/>
          <w:noProof/>
          <w:color w:val="auto"/>
          <w:sz w:val="22"/>
          <w:szCs w:val="22"/>
        </w:rPr>
        <w:tab/>
      </w:r>
      <w:r w:rsidRPr="002404E6">
        <w:rPr>
          <w:i/>
          <w:iCs/>
          <w:noProof/>
        </w:rPr>
        <w:t xml:space="preserve">Ex parte Young </w:t>
      </w:r>
      <w:r>
        <w:rPr>
          <w:noProof/>
        </w:rPr>
        <w:t>overcomes any sovereign immunity defense in this case because Defendants are actively enforcing GA-38.</w:t>
      </w:r>
      <w:r>
        <w:rPr>
          <w:noProof/>
        </w:rPr>
        <w:tab/>
      </w:r>
      <w:r>
        <w:rPr>
          <w:noProof/>
        </w:rPr>
        <w:fldChar w:fldCharType="begin"/>
      </w:r>
      <w:r>
        <w:rPr>
          <w:noProof/>
        </w:rPr>
        <w:instrText xml:space="preserve"> PAGEREF _Toc83846175 \h </w:instrText>
      </w:r>
      <w:r>
        <w:rPr>
          <w:noProof/>
        </w:rPr>
      </w:r>
      <w:r>
        <w:rPr>
          <w:noProof/>
        </w:rPr>
        <w:fldChar w:fldCharType="separate"/>
      </w:r>
      <w:r>
        <w:rPr>
          <w:noProof/>
        </w:rPr>
        <w:t>25</w:t>
      </w:r>
      <w:r>
        <w:rPr>
          <w:noProof/>
        </w:rPr>
        <w:fldChar w:fldCharType="end"/>
      </w:r>
    </w:p>
    <w:p w14:paraId="09D73AE5" w14:textId="094C860A" w:rsidR="008D6AEF" w:rsidRDefault="008D6AEF">
      <w:pPr>
        <w:pStyle w:val="TOC5"/>
        <w:rPr>
          <w:rFonts w:asciiTheme="minorHAnsi" w:eastAsiaTheme="minorEastAsia" w:hAnsiTheme="minorHAnsi"/>
          <w:noProof/>
          <w:color w:val="auto"/>
          <w:sz w:val="22"/>
          <w:szCs w:val="22"/>
        </w:rPr>
      </w:pPr>
      <w:r w:rsidRPr="002404E6">
        <w:rPr>
          <w:rFonts w:cs="Times New Roman"/>
          <w:noProof/>
        </w:rPr>
        <w:t>a.</w:t>
      </w:r>
      <w:r>
        <w:rPr>
          <w:rFonts w:asciiTheme="minorHAnsi" w:eastAsiaTheme="minorEastAsia" w:hAnsiTheme="minorHAnsi"/>
          <w:noProof/>
          <w:color w:val="auto"/>
          <w:sz w:val="22"/>
          <w:szCs w:val="22"/>
        </w:rPr>
        <w:tab/>
      </w:r>
      <w:r>
        <w:rPr>
          <w:noProof/>
        </w:rPr>
        <w:t xml:space="preserve">On its face, </w:t>
      </w:r>
      <w:r w:rsidRPr="002404E6">
        <w:rPr>
          <w:i/>
          <w:iCs/>
          <w:noProof/>
        </w:rPr>
        <w:t xml:space="preserve">Ex parte Young </w:t>
      </w:r>
      <w:r>
        <w:rPr>
          <w:noProof/>
        </w:rPr>
        <w:t>deprives a state official of sovereign immunity when he is enforcing a law that violates federal law.</w:t>
      </w:r>
      <w:r>
        <w:rPr>
          <w:noProof/>
        </w:rPr>
        <w:tab/>
      </w:r>
      <w:r>
        <w:rPr>
          <w:noProof/>
        </w:rPr>
        <w:fldChar w:fldCharType="begin"/>
      </w:r>
      <w:r>
        <w:rPr>
          <w:noProof/>
        </w:rPr>
        <w:instrText xml:space="preserve"> PAGEREF _Toc83846176 \h </w:instrText>
      </w:r>
      <w:r>
        <w:rPr>
          <w:noProof/>
        </w:rPr>
      </w:r>
      <w:r>
        <w:rPr>
          <w:noProof/>
        </w:rPr>
        <w:fldChar w:fldCharType="separate"/>
      </w:r>
      <w:r>
        <w:rPr>
          <w:noProof/>
        </w:rPr>
        <w:t>25</w:t>
      </w:r>
      <w:r>
        <w:rPr>
          <w:noProof/>
        </w:rPr>
        <w:fldChar w:fldCharType="end"/>
      </w:r>
    </w:p>
    <w:p w14:paraId="20FB0C1B" w14:textId="0B4EB338" w:rsidR="008D6AEF" w:rsidRDefault="008D6AEF">
      <w:pPr>
        <w:pStyle w:val="TOC5"/>
        <w:rPr>
          <w:rFonts w:asciiTheme="minorHAnsi" w:eastAsiaTheme="minorEastAsia" w:hAnsiTheme="minorHAnsi"/>
          <w:noProof/>
          <w:color w:val="auto"/>
          <w:sz w:val="22"/>
          <w:szCs w:val="22"/>
        </w:rPr>
      </w:pPr>
      <w:r w:rsidRPr="002404E6">
        <w:rPr>
          <w:rFonts w:cs="Times New Roman"/>
          <w:noProof/>
        </w:rPr>
        <w:t>b.</w:t>
      </w:r>
      <w:r>
        <w:rPr>
          <w:rFonts w:asciiTheme="minorHAnsi" w:eastAsiaTheme="minorEastAsia" w:hAnsiTheme="minorHAnsi"/>
          <w:noProof/>
          <w:color w:val="auto"/>
          <w:sz w:val="22"/>
          <w:szCs w:val="22"/>
        </w:rPr>
        <w:tab/>
      </w:r>
      <w:r>
        <w:rPr>
          <w:noProof/>
        </w:rPr>
        <w:t>Fifth Circuit cases do not and cannot require a different result.</w:t>
      </w:r>
      <w:r>
        <w:rPr>
          <w:noProof/>
        </w:rPr>
        <w:tab/>
      </w:r>
      <w:r>
        <w:rPr>
          <w:noProof/>
        </w:rPr>
        <w:fldChar w:fldCharType="begin"/>
      </w:r>
      <w:r>
        <w:rPr>
          <w:noProof/>
        </w:rPr>
        <w:instrText xml:space="preserve"> PAGEREF _Toc83846177 \h </w:instrText>
      </w:r>
      <w:r>
        <w:rPr>
          <w:noProof/>
        </w:rPr>
      </w:r>
      <w:r>
        <w:rPr>
          <w:noProof/>
        </w:rPr>
        <w:fldChar w:fldCharType="separate"/>
      </w:r>
      <w:r>
        <w:rPr>
          <w:noProof/>
        </w:rPr>
        <w:t>30</w:t>
      </w:r>
      <w:r>
        <w:rPr>
          <w:noProof/>
        </w:rPr>
        <w:fldChar w:fldCharType="end"/>
      </w:r>
    </w:p>
    <w:p w14:paraId="5A0C2207" w14:textId="07D81D84" w:rsidR="008D6AEF" w:rsidRDefault="008D6AEF">
      <w:pPr>
        <w:pStyle w:val="TOC4"/>
        <w:rPr>
          <w:rFonts w:asciiTheme="minorHAnsi" w:eastAsiaTheme="minorEastAsia" w:hAnsiTheme="minorHAnsi"/>
          <w:noProof/>
          <w:color w:val="auto"/>
          <w:sz w:val="22"/>
          <w:szCs w:val="22"/>
        </w:rPr>
      </w:pPr>
      <w:r w:rsidRPr="002404E6">
        <w:rPr>
          <w:rFonts w:cs="Times New Roman"/>
          <w:noProof/>
        </w:rPr>
        <w:t>3.</w:t>
      </w:r>
      <w:r>
        <w:rPr>
          <w:rFonts w:asciiTheme="minorHAnsi" w:eastAsiaTheme="minorEastAsia" w:hAnsiTheme="minorHAnsi"/>
          <w:noProof/>
          <w:color w:val="auto"/>
          <w:sz w:val="22"/>
          <w:szCs w:val="22"/>
        </w:rPr>
        <w:tab/>
      </w:r>
      <w:r>
        <w:rPr>
          <w:noProof/>
        </w:rPr>
        <w:t>Plaintiffs have standing because Defendants’ unlawful conduct has deprived Plaintiffs of meaningful access to in-person public education.</w:t>
      </w:r>
      <w:r>
        <w:rPr>
          <w:noProof/>
        </w:rPr>
        <w:tab/>
      </w:r>
      <w:r>
        <w:rPr>
          <w:noProof/>
        </w:rPr>
        <w:fldChar w:fldCharType="begin"/>
      </w:r>
      <w:r>
        <w:rPr>
          <w:noProof/>
        </w:rPr>
        <w:instrText xml:space="preserve"> PAGEREF _Toc83846178 \h </w:instrText>
      </w:r>
      <w:r>
        <w:rPr>
          <w:noProof/>
        </w:rPr>
      </w:r>
      <w:r>
        <w:rPr>
          <w:noProof/>
        </w:rPr>
        <w:fldChar w:fldCharType="separate"/>
      </w:r>
      <w:r>
        <w:rPr>
          <w:noProof/>
        </w:rPr>
        <w:t>33</w:t>
      </w:r>
      <w:r>
        <w:rPr>
          <w:noProof/>
        </w:rPr>
        <w:fldChar w:fldCharType="end"/>
      </w:r>
    </w:p>
    <w:p w14:paraId="1E82458E" w14:textId="27F9FAF1" w:rsidR="008D6AEF" w:rsidRDefault="008D6AEF">
      <w:pPr>
        <w:pStyle w:val="TOC5"/>
        <w:rPr>
          <w:rFonts w:asciiTheme="minorHAnsi" w:eastAsiaTheme="minorEastAsia" w:hAnsiTheme="minorHAnsi"/>
          <w:noProof/>
          <w:color w:val="auto"/>
          <w:sz w:val="22"/>
          <w:szCs w:val="22"/>
        </w:rPr>
      </w:pPr>
      <w:r w:rsidRPr="002404E6">
        <w:rPr>
          <w:rFonts w:cs="Times New Roman"/>
          <w:noProof/>
        </w:rPr>
        <w:t>a.</w:t>
      </w:r>
      <w:r>
        <w:rPr>
          <w:rFonts w:asciiTheme="minorHAnsi" w:eastAsiaTheme="minorEastAsia" w:hAnsiTheme="minorHAnsi"/>
          <w:noProof/>
          <w:color w:val="auto"/>
          <w:sz w:val="22"/>
          <w:szCs w:val="22"/>
        </w:rPr>
        <w:tab/>
      </w:r>
      <w:r>
        <w:rPr>
          <w:noProof/>
        </w:rPr>
        <w:t>Plaintiffs have suffered an injury because they have been deprived of meaningful access to in-person public education.</w:t>
      </w:r>
      <w:r>
        <w:rPr>
          <w:noProof/>
        </w:rPr>
        <w:tab/>
      </w:r>
      <w:r>
        <w:rPr>
          <w:noProof/>
        </w:rPr>
        <w:fldChar w:fldCharType="begin"/>
      </w:r>
      <w:r>
        <w:rPr>
          <w:noProof/>
        </w:rPr>
        <w:instrText xml:space="preserve"> PAGEREF _Toc83846179 \h </w:instrText>
      </w:r>
      <w:r>
        <w:rPr>
          <w:noProof/>
        </w:rPr>
      </w:r>
      <w:r>
        <w:rPr>
          <w:noProof/>
        </w:rPr>
        <w:fldChar w:fldCharType="separate"/>
      </w:r>
      <w:r>
        <w:rPr>
          <w:noProof/>
        </w:rPr>
        <w:t>33</w:t>
      </w:r>
      <w:r>
        <w:rPr>
          <w:noProof/>
        </w:rPr>
        <w:fldChar w:fldCharType="end"/>
      </w:r>
    </w:p>
    <w:p w14:paraId="06B3185B" w14:textId="51C3DFDA" w:rsidR="008D6AEF" w:rsidRDefault="008D6AEF">
      <w:pPr>
        <w:pStyle w:val="TOC6"/>
        <w:tabs>
          <w:tab w:val="left" w:pos="4320"/>
        </w:tabs>
        <w:rPr>
          <w:rFonts w:asciiTheme="minorHAnsi" w:eastAsiaTheme="minorEastAsia" w:hAnsiTheme="minorHAnsi"/>
          <w:noProof/>
          <w:color w:val="auto"/>
          <w:sz w:val="22"/>
          <w:szCs w:val="22"/>
        </w:rPr>
      </w:pPr>
      <w:r w:rsidRPr="002404E6">
        <w:rPr>
          <w:rFonts w:cs="Times New Roman"/>
          <w:noProof/>
        </w:rPr>
        <w:t>i.</w:t>
      </w:r>
      <w:r>
        <w:rPr>
          <w:rFonts w:asciiTheme="minorHAnsi" w:eastAsiaTheme="minorEastAsia" w:hAnsiTheme="minorHAnsi"/>
          <w:noProof/>
          <w:color w:val="auto"/>
          <w:sz w:val="22"/>
          <w:szCs w:val="22"/>
        </w:rPr>
        <w:tab/>
      </w:r>
      <w:r>
        <w:rPr>
          <w:noProof/>
        </w:rPr>
        <w:t>Plaintiffs’ actual or imminent loss of opportunity to attend and have meaningful access to in-person public school is an injury sufficient to confer standing.</w:t>
      </w:r>
      <w:r>
        <w:rPr>
          <w:noProof/>
        </w:rPr>
        <w:tab/>
      </w:r>
      <w:r>
        <w:rPr>
          <w:noProof/>
        </w:rPr>
        <w:fldChar w:fldCharType="begin"/>
      </w:r>
      <w:r>
        <w:rPr>
          <w:noProof/>
        </w:rPr>
        <w:instrText xml:space="preserve"> PAGEREF _Toc83846180 \h </w:instrText>
      </w:r>
      <w:r>
        <w:rPr>
          <w:noProof/>
        </w:rPr>
      </w:r>
      <w:r>
        <w:rPr>
          <w:noProof/>
        </w:rPr>
        <w:fldChar w:fldCharType="separate"/>
      </w:r>
      <w:r>
        <w:rPr>
          <w:noProof/>
        </w:rPr>
        <w:t>34</w:t>
      </w:r>
      <w:r>
        <w:rPr>
          <w:noProof/>
        </w:rPr>
        <w:fldChar w:fldCharType="end"/>
      </w:r>
    </w:p>
    <w:p w14:paraId="1FB9FE47" w14:textId="16C5513D" w:rsidR="008D6AEF" w:rsidRDefault="008D6AEF">
      <w:pPr>
        <w:pStyle w:val="TOC6"/>
        <w:tabs>
          <w:tab w:val="left" w:pos="4320"/>
        </w:tabs>
        <w:rPr>
          <w:rFonts w:asciiTheme="minorHAnsi" w:eastAsiaTheme="minorEastAsia" w:hAnsiTheme="minorHAnsi"/>
          <w:noProof/>
          <w:color w:val="auto"/>
          <w:sz w:val="22"/>
          <w:szCs w:val="22"/>
        </w:rPr>
      </w:pPr>
      <w:r w:rsidRPr="002404E6">
        <w:rPr>
          <w:rFonts w:cs="Times New Roman"/>
          <w:noProof/>
        </w:rPr>
        <w:t>ii.</w:t>
      </w:r>
      <w:r>
        <w:rPr>
          <w:rFonts w:asciiTheme="minorHAnsi" w:eastAsiaTheme="minorEastAsia" w:hAnsiTheme="minorHAnsi"/>
          <w:noProof/>
          <w:color w:val="auto"/>
          <w:sz w:val="22"/>
          <w:szCs w:val="22"/>
        </w:rPr>
        <w:tab/>
      </w:r>
      <w:r>
        <w:rPr>
          <w:noProof/>
        </w:rPr>
        <w:t>Plaintiffs have been deprived of the opportunity to attend and have meaningful access to in-person public school.</w:t>
      </w:r>
      <w:r>
        <w:rPr>
          <w:noProof/>
        </w:rPr>
        <w:tab/>
      </w:r>
      <w:r>
        <w:rPr>
          <w:noProof/>
        </w:rPr>
        <w:fldChar w:fldCharType="begin"/>
      </w:r>
      <w:r>
        <w:rPr>
          <w:noProof/>
        </w:rPr>
        <w:instrText xml:space="preserve"> PAGEREF _Toc83846181 \h </w:instrText>
      </w:r>
      <w:r>
        <w:rPr>
          <w:noProof/>
        </w:rPr>
      </w:r>
      <w:r>
        <w:rPr>
          <w:noProof/>
        </w:rPr>
        <w:fldChar w:fldCharType="separate"/>
      </w:r>
      <w:r>
        <w:rPr>
          <w:noProof/>
        </w:rPr>
        <w:t>37</w:t>
      </w:r>
      <w:r>
        <w:rPr>
          <w:noProof/>
        </w:rPr>
        <w:fldChar w:fldCharType="end"/>
      </w:r>
    </w:p>
    <w:p w14:paraId="3D5CAB81" w14:textId="353E044D" w:rsidR="008D6AEF" w:rsidRDefault="008D6AEF">
      <w:pPr>
        <w:pStyle w:val="TOC5"/>
        <w:rPr>
          <w:rFonts w:asciiTheme="minorHAnsi" w:eastAsiaTheme="minorEastAsia" w:hAnsiTheme="minorHAnsi"/>
          <w:noProof/>
          <w:color w:val="auto"/>
          <w:sz w:val="22"/>
          <w:szCs w:val="22"/>
        </w:rPr>
      </w:pPr>
      <w:r w:rsidRPr="002404E6">
        <w:rPr>
          <w:rFonts w:cs="Times New Roman"/>
          <w:noProof/>
        </w:rPr>
        <w:t>b.</w:t>
      </w:r>
      <w:r>
        <w:rPr>
          <w:rFonts w:asciiTheme="minorHAnsi" w:eastAsiaTheme="minorEastAsia" w:hAnsiTheme="minorHAnsi"/>
          <w:noProof/>
          <w:color w:val="auto"/>
          <w:sz w:val="22"/>
          <w:szCs w:val="22"/>
        </w:rPr>
        <w:tab/>
      </w:r>
      <w:r>
        <w:rPr>
          <w:noProof/>
        </w:rPr>
        <w:t>Plaintiffs’ injury is fairly traceable to Defendants’ actual and threatened enforcement of GA-38 against school districts.</w:t>
      </w:r>
      <w:r>
        <w:rPr>
          <w:noProof/>
        </w:rPr>
        <w:tab/>
      </w:r>
      <w:r>
        <w:rPr>
          <w:noProof/>
        </w:rPr>
        <w:fldChar w:fldCharType="begin"/>
      </w:r>
      <w:r>
        <w:rPr>
          <w:noProof/>
        </w:rPr>
        <w:instrText xml:space="preserve"> PAGEREF _Toc83846182 \h </w:instrText>
      </w:r>
      <w:r>
        <w:rPr>
          <w:noProof/>
        </w:rPr>
      </w:r>
      <w:r>
        <w:rPr>
          <w:noProof/>
        </w:rPr>
        <w:fldChar w:fldCharType="separate"/>
      </w:r>
      <w:r>
        <w:rPr>
          <w:noProof/>
        </w:rPr>
        <w:t>40</w:t>
      </w:r>
      <w:r>
        <w:rPr>
          <w:noProof/>
        </w:rPr>
        <w:fldChar w:fldCharType="end"/>
      </w:r>
    </w:p>
    <w:p w14:paraId="272C592B" w14:textId="53791054" w:rsidR="008D6AEF" w:rsidRDefault="008D6AEF">
      <w:pPr>
        <w:pStyle w:val="TOC5"/>
        <w:rPr>
          <w:rFonts w:asciiTheme="minorHAnsi" w:eastAsiaTheme="minorEastAsia" w:hAnsiTheme="minorHAnsi"/>
          <w:noProof/>
          <w:color w:val="auto"/>
          <w:sz w:val="22"/>
          <w:szCs w:val="22"/>
        </w:rPr>
      </w:pPr>
      <w:r w:rsidRPr="002404E6">
        <w:rPr>
          <w:rFonts w:cs="Times New Roman"/>
          <w:noProof/>
        </w:rPr>
        <w:t>c.</w:t>
      </w:r>
      <w:r>
        <w:rPr>
          <w:rFonts w:asciiTheme="minorHAnsi" w:eastAsiaTheme="minorEastAsia" w:hAnsiTheme="minorHAnsi"/>
          <w:noProof/>
          <w:color w:val="auto"/>
          <w:sz w:val="22"/>
          <w:szCs w:val="22"/>
        </w:rPr>
        <w:tab/>
      </w:r>
      <w:r>
        <w:rPr>
          <w:noProof/>
        </w:rPr>
        <w:t>An injunction enjoining Defendants from enforcing GA-38 against school districts would likely redress Plaintiffs’ injury.</w:t>
      </w:r>
      <w:r>
        <w:rPr>
          <w:noProof/>
        </w:rPr>
        <w:tab/>
      </w:r>
      <w:r>
        <w:rPr>
          <w:noProof/>
        </w:rPr>
        <w:fldChar w:fldCharType="begin"/>
      </w:r>
      <w:r>
        <w:rPr>
          <w:noProof/>
        </w:rPr>
        <w:instrText xml:space="preserve"> PAGEREF _Toc83846183 \h </w:instrText>
      </w:r>
      <w:r>
        <w:rPr>
          <w:noProof/>
        </w:rPr>
      </w:r>
      <w:r>
        <w:rPr>
          <w:noProof/>
        </w:rPr>
        <w:fldChar w:fldCharType="separate"/>
      </w:r>
      <w:r>
        <w:rPr>
          <w:noProof/>
        </w:rPr>
        <w:t>43</w:t>
      </w:r>
      <w:r>
        <w:rPr>
          <w:noProof/>
        </w:rPr>
        <w:fldChar w:fldCharType="end"/>
      </w:r>
    </w:p>
    <w:p w14:paraId="6B659046" w14:textId="1646ABFE" w:rsidR="008D6AEF" w:rsidRDefault="008D6AEF">
      <w:pPr>
        <w:pStyle w:val="TOC3"/>
        <w:tabs>
          <w:tab w:val="left" w:pos="1440"/>
        </w:tabs>
        <w:rPr>
          <w:rFonts w:asciiTheme="minorHAnsi" w:eastAsiaTheme="minorEastAsia" w:hAnsiTheme="minorHAnsi"/>
          <w:noProof/>
          <w:color w:val="auto"/>
          <w:sz w:val="22"/>
          <w:szCs w:val="22"/>
        </w:rPr>
      </w:pPr>
      <w:r w:rsidRPr="002404E6">
        <w:rPr>
          <w:rFonts w:eastAsia="Times New Roman" w:cs="Times New Roman"/>
          <w:noProof/>
        </w:rPr>
        <w:t>B.</w:t>
      </w:r>
      <w:r>
        <w:rPr>
          <w:rFonts w:asciiTheme="minorHAnsi" w:eastAsiaTheme="minorEastAsia" w:hAnsiTheme="minorHAnsi"/>
          <w:noProof/>
          <w:color w:val="auto"/>
          <w:sz w:val="22"/>
          <w:szCs w:val="22"/>
        </w:rPr>
        <w:tab/>
      </w:r>
      <w:r w:rsidRPr="002404E6">
        <w:rPr>
          <w:rFonts w:eastAsia="Times New Roman"/>
          <w:noProof/>
        </w:rPr>
        <w:t>Defendants have violated the ADA and Rehabilitation Act.</w:t>
      </w:r>
      <w:r>
        <w:rPr>
          <w:noProof/>
        </w:rPr>
        <w:tab/>
      </w:r>
      <w:r>
        <w:rPr>
          <w:noProof/>
        </w:rPr>
        <w:fldChar w:fldCharType="begin"/>
      </w:r>
      <w:r>
        <w:rPr>
          <w:noProof/>
        </w:rPr>
        <w:instrText xml:space="preserve"> PAGEREF _Toc83846184 \h </w:instrText>
      </w:r>
      <w:r>
        <w:rPr>
          <w:noProof/>
        </w:rPr>
      </w:r>
      <w:r>
        <w:rPr>
          <w:noProof/>
        </w:rPr>
        <w:fldChar w:fldCharType="separate"/>
      </w:r>
      <w:r>
        <w:rPr>
          <w:noProof/>
        </w:rPr>
        <w:t>44</w:t>
      </w:r>
      <w:r>
        <w:rPr>
          <w:noProof/>
        </w:rPr>
        <w:fldChar w:fldCharType="end"/>
      </w:r>
    </w:p>
    <w:p w14:paraId="325CBC79" w14:textId="22F5B3DD" w:rsidR="008D6AEF" w:rsidRDefault="008D6AEF">
      <w:pPr>
        <w:pStyle w:val="TOC4"/>
        <w:rPr>
          <w:rFonts w:asciiTheme="minorHAnsi" w:eastAsiaTheme="minorEastAsia" w:hAnsiTheme="minorHAnsi"/>
          <w:noProof/>
          <w:color w:val="auto"/>
          <w:sz w:val="22"/>
          <w:szCs w:val="22"/>
        </w:rPr>
      </w:pPr>
      <w:r w:rsidRPr="002404E6">
        <w:rPr>
          <w:rFonts w:eastAsia="Times New Roman" w:cs="Times New Roman"/>
          <w:noProof/>
        </w:rPr>
        <w:t>1.</w:t>
      </w:r>
      <w:r>
        <w:rPr>
          <w:rFonts w:asciiTheme="minorHAnsi" w:eastAsiaTheme="minorEastAsia" w:hAnsiTheme="minorHAnsi"/>
          <w:noProof/>
          <w:color w:val="auto"/>
          <w:sz w:val="22"/>
          <w:szCs w:val="22"/>
        </w:rPr>
        <w:tab/>
      </w:r>
      <w:r w:rsidRPr="002404E6">
        <w:rPr>
          <w:rFonts w:eastAsia="Times New Roman"/>
          <w:noProof/>
        </w:rPr>
        <w:t>Plaintiffs are qualified individuals with disabilities.</w:t>
      </w:r>
      <w:r>
        <w:rPr>
          <w:noProof/>
        </w:rPr>
        <w:tab/>
      </w:r>
      <w:r>
        <w:rPr>
          <w:noProof/>
        </w:rPr>
        <w:fldChar w:fldCharType="begin"/>
      </w:r>
      <w:r>
        <w:rPr>
          <w:noProof/>
        </w:rPr>
        <w:instrText xml:space="preserve"> PAGEREF _Toc83846185 \h </w:instrText>
      </w:r>
      <w:r>
        <w:rPr>
          <w:noProof/>
        </w:rPr>
      </w:r>
      <w:r>
        <w:rPr>
          <w:noProof/>
        </w:rPr>
        <w:fldChar w:fldCharType="separate"/>
      </w:r>
      <w:r>
        <w:rPr>
          <w:noProof/>
        </w:rPr>
        <w:t>46</w:t>
      </w:r>
      <w:r>
        <w:rPr>
          <w:noProof/>
        </w:rPr>
        <w:fldChar w:fldCharType="end"/>
      </w:r>
    </w:p>
    <w:p w14:paraId="2AB74F4A" w14:textId="22CF6F1D" w:rsidR="008D6AEF" w:rsidRDefault="008D6AEF">
      <w:pPr>
        <w:pStyle w:val="TOC4"/>
        <w:rPr>
          <w:rFonts w:asciiTheme="minorHAnsi" w:eastAsiaTheme="minorEastAsia" w:hAnsiTheme="minorHAnsi"/>
          <w:noProof/>
          <w:color w:val="auto"/>
          <w:sz w:val="22"/>
          <w:szCs w:val="22"/>
        </w:rPr>
      </w:pPr>
      <w:r w:rsidRPr="002404E6">
        <w:rPr>
          <w:rFonts w:eastAsia="Times New Roman" w:cs="Times New Roman"/>
          <w:noProof/>
        </w:rPr>
        <w:lastRenderedPageBreak/>
        <w:t>2.</w:t>
      </w:r>
      <w:r>
        <w:rPr>
          <w:rFonts w:asciiTheme="minorHAnsi" w:eastAsiaTheme="minorEastAsia" w:hAnsiTheme="minorHAnsi"/>
          <w:noProof/>
          <w:color w:val="auto"/>
          <w:sz w:val="22"/>
          <w:szCs w:val="22"/>
        </w:rPr>
        <w:tab/>
      </w:r>
      <w:r w:rsidRPr="002404E6">
        <w:rPr>
          <w:rFonts w:eastAsia="Times New Roman"/>
          <w:noProof/>
        </w:rPr>
        <w:t>G.A. 38 discriminates against Plaintiffs.</w:t>
      </w:r>
      <w:r>
        <w:rPr>
          <w:noProof/>
        </w:rPr>
        <w:tab/>
      </w:r>
      <w:r>
        <w:rPr>
          <w:noProof/>
        </w:rPr>
        <w:fldChar w:fldCharType="begin"/>
      </w:r>
      <w:r>
        <w:rPr>
          <w:noProof/>
        </w:rPr>
        <w:instrText xml:space="preserve"> PAGEREF _Toc83846186 \h </w:instrText>
      </w:r>
      <w:r>
        <w:rPr>
          <w:noProof/>
        </w:rPr>
      </w:r>
      <w:r>
        <w:rPr>
          <w:noProof/>
        </w:rPr>
        <w:fldChar w:fldCharType="separate"/>
      </w:r>
      <w:r>
        <w:rPr>
          <w:noProof/>
        </w:rPr>
        <w:t>46</w:t>
      </w:r>
      <w:r>
        <w:rPr>
          <w:noProof/>
        </w:rPr>
        <w:fldChar w:fldCharType="end"/>
      </w:r>
    </w:p>
    <w:p w14:paraId="5569A1D9" w14:textId="5CAF1AD2" w:rsidR="008D6AEF" w:rsidRDefault="008D6AEF">
      <w:pPr>
        <w:pStyle w:val="TOC5"/>
        <w:rPr>
          <w:rFonts w:asciiTheme="minorHAnsi" w:eastAsiaTheme="minorEastAsia" w:hAnsiTheme="minorHAnsi"/>
          <w:noProof/>
          <w:color w:val="auto"/>
          <w:sz w:val="22"/>
          <w:szCs w:val="22"/>
        </w:rPr>
      </w:pPr>
      <w:r w:rsidRPr="002404E6">
        <w:rPr>
          <w:rFonts w:eastAsia="Times New Roman" w:cs="Times New Roman"/>
          <w:noProof/>
        </w:rPr>
        <w:t>a.</w:t>
      </w:r>
      <w:r>
        <w:rPr>
          <w:rFonts w:asciiTheme="minorHAnsi" w:eastAsiaTheme="minorEastAsia" w:hAnsiTheme="minorHAnsi"/>
          <w:noProof/>
          <w:color w:val="auto"/>
          <w:sz w:val="22"/>
          <w:szCs w:val="22"/>
        </w:rPr>
        <w:tab/>
      </w:r>
      <w:r w:rsidRPr="002404E6">
        <w:rPr>
          <w:rFonts w:eastAsia="Times New Roman"/>
          <w:noProof/>
        </w:rPr>
        <w:t>Exclusion from in-person learning</w:t>
      </w:r>
      <w:r>
        <w:rPr>
          <w:noProof/>
        </w:rPr>
        <w:tab/>
      </w:r>
      <w:r>
        <w:rPr>
          <w:noProof/>
        </w:rPr>
        <w:fldChar w:fldCharType="begin"/>
      </w:r>
      <w:r>
        <w:rPr>
          <w:noProof/>
        </w:rPr>
        <w:instrText xml:space="preserve"> PAGEREF _Toc83846187 \h </w:instrText>
      </w:r>
      <w:r>
        <w:rPr>
          <w:noProof/>
        </w:rPr>
      </w:r>
      <w:r>
        <w:rPr>
          <w:noProof/>
        </w:rPr>
        <w:fldChar w:fldCharType="separate"/>
      </w:r>
      <w:r>
        <w:rPr>
          <w:noProof/>
        </w:rPr>
        <w:t>47</w:t>
      </w:r>
      <w:r>
        <w:rPr>
          <w:noProof/>
        </w:rPr>
        <w:fldChar w:fldCharType="end"/>
      </w:r>
    </w:p>
    <w:p w14:paraId="5072E51D" w14:textId="267726A1" w:rsidR="008D6AEF" w:rsidRDefault="008D6AEF">
      <w:pPr>
        <w:pStyle w:val="TOC5"/>
        <w:rPr>
          <w:rFonts w:asciiTheme="minorHAnsi" w:eastAsiaTheme="minorEastAsia" w:hAnsiTheme="minorHAnsi"/>
          <w:noProof/>
          <w:color w:val="auto"/>
          <w:sz w:val="22"/>
          <w:szCs w:val="22"/>
        </w:rPr>
      </w:pPr>
      <w:r w:rsidRPr="002404E6">
        <w:rPr>
          <w:rFonts w:eastAsia="Times New Roman" w:cs="Times New Roman"/>
          <w:noProof/>
        </w:rPr>
        <w:t>b.</w:t>
      </w:r>
      <w:r>
        <w:rPr>
          <w:rFonts w:asciiTheme="minorHAnsi" w:eastAsiaTheme="minorEastAsia" w:hAnsiTheme="minorHAnsi"/>
          <w:noProof/>
          <w:color w:val="auto"/>
          <w:sz w:val="22"/>
          <w:szCs w:val="22"/>
        </w:rPr>
        <w:tab/>
      </w:r>
      <w:r w:rsidRPr="002404E6">
        <w:rPr>
          <w:rFonts w:eastAsia="Times New Roman"/>
          <w:noProof/>
        </w:rPr>
        <w:t>Unequal access to in-person learning</w:t>
      </w:r>
      <w:r>
        <w:rPr>
          <w:noProof/>
        </w:rPr>
        <w:tab/>
      </w:r>
      <w:r>
        <w:rPr>
          <w:noProof/>
        </w:rPr>
        <w:fldChar w:fldCharType="begin"/>
      </w:r>
      <w:r>
        <w:rPr>
          <w:noProof/>
        </w:rPr>
        <w:instrText xml:space="preserve"> PAGEREF _Toc83846188 \h </w:instrText>
      </w:r>
      <w:r>
        <w:rPr>
          <w:noProof/>
        </w:rPr>
      </w:r>
      <w:r>
        <w:rPr>
          <w:noProof/>
        </w:rPr>
        <w:fldChar w:fldCharType="separate"/>
      </w:r>
      <w:r>
        <w:rPr>
          <w:noProof/>
        </w:rPr>
        <w:t>49</w:t>
      </w:r>
      <w:r>
        <w:rPr>
          <w:noProof/>
        </w:rPr>
        <w:fldChar w:fldCharType="end"/>
      </w:r>
    </w:p>
    <w:p w14:paraId="62CC56DC" w14:textId="2D3F61E1" w:rsidR="008D6AEF" w:rsidRDefault="008D6AEF">
      <w:pPr>
        <w:pStyle w:val="TOC5"/>
        <w:rPr>
          <w:rFonts w:asciiTheme="minorHAnsi" w:eastAsiaTheme="minorEastAsia" w:hAnsiTheme="minorHAnsi"/>
          <w:noProof/>
          <w:color w:val="auto"/>
          <w:sz w:val="22"/>
          <w:szCs w:val="22"/>
        </w:rPr>
      </w:pPr>
      <w:r w:rsidRPr="002404E6">
        <w:rPr>
          <w:rFonts w:eastAsia="Times New Roman" w:cs="Times New Roman"/>
          <w:noProof/>
        </w:rPr>
        <w:t>c.</w:t>
      </w:r>
      <w:r>
        <w:rPr>
          <w:rFonts w:asciiTheme="minorHAnsi" w:eastAsiaTheme="minorEastAsia" w:hAnsiTheme="minorHAnsi"/>
          <w:noProof/>
          <w:color w:val="auto"/>
          <w:sz w:val="22"/>
          <w:szCs w:val="22"/>
        </w:rPr>
        <w:tab/>
      </w:r>
      <w:r w:rsidRPr="002404E6">
        <w:rPr>
          <w:rFonts w:eastAsia="Times New Roman"/>
          <w:noProof/>
        </w:rPr>
        <w:t>Failure to Provide Reasonable Modification</w:t>
      </w:r>
      <w:r>
        <w:rPr>
          <w:noProof/>
        </w:rPr>
        <w:tab/>
      </w:r>
      <w:r>
        <w:rPr>
          <w:noProof/>
        </w:rPr>
        <w:fldChar w:fldCharType="begin"/>
      </w:r>
      <w:r>
        <w:rPr>
          <w:noProof/>
        </w:rPr>
        <w:instrText xml:space="preserve"> PAGEREF _Toc83846189 \h </w:instrText>
      </w:r>
      <w:r>
        <w:rPr>
          <w:noProof/>
        </w:rPr>
      </w:r>
      <w:r>
        <w:rPr>
          <w:noProof/>
        </w:rPr>
        <w:fldChar w:fldCharType="separate"/>
      </w:r>
      <w:r>
        <w:rPr>
          <w:noProof/>
        </w:rPr>
        <w:t>52</w:t>
      </w:r>
      <w:r>
        <w:rPr>
          <w:noProof/>
        </w:rPr>
        <w:fldChar w:fldCharType="end"/>
      </w:r>
    </w:p>
    <w:p w14:paraId="542D2125" w14:textId="0ADC4B3C" w:rsidR="008D6AEF" w:rsidRDefault="008D6AEF">
      <w:pPr>
        <w:pStyle w:val="TOC4"/>
        <w:rPr>
          <w:rFonts w:asciiTheme="minorHAnsi" w:eastAsiaTheme="minorEastAsia" w:hAnsiTheme="minorHAnsi"/>
          <w:noProof/>
          <w:color w:val="auto"/>
          <w:sz w:val="22"/>
          <w:szCs w:val="22"/>
        </w:rPr>
      </w:pPr>
      <w:r w:rsidRPr="002404E6">
        <w:rPr>
          <w:rFonts w:eastAsia="Times New Roman" w:cs="Times New Roman"/>
          <w:noProof/>
        </w:rPr>
        <w:t>3.</w:t>
      </w:r>
      <w:r>
        <w:rPr>
          <w:rFonts w:asciiTheme="minorHAnsi" w:eastAsiaTheme="minorEastAsia" w:hAnsiTheme="minorHAnsi"/>
          <w:noProof/>
          <w:color w:val="auto"/>
          <w:sz w:val="22"/>
          <w:szCs w:val="22"/>
        </w:rPr>
        <w:tab/>
      </w:r>
      <w:r w:rsidRPr="002404E6">
        <w:rPr>
          <w:rFonts w:eastAsia="Times New Roman"/>
          <w:noProof/>
        </w:rPr>
        <w:t>The discrimination is by reason of the Plaintiffs’ disability.</w:t>
      </w:r>
      <w:r>
        <w:rPr>
          <w:noProof/>
        </w:rPr>
        <w:tab/>
      </w:r>
      <w:r>
        <w:rPr>
          <w:noProof/>
        </w:rPr>
        <w:fldChar w:fldCharType="begin"/>
      </w:r>
      <w:r>
        <w:rPr>
          <w:noProof/>
        </w:rPr>
        <w:instrText xml:space="preserve"> PAGEREF _Toc83846190 \h </w:instrText>
      </w:r>
      <w:r>
        <w:rPr>
          <w:noProof/>
        </w:rPr>
      </w:r>
      <w:r>
        <w:rPr>
          <w:noProof/>
        </w:rPr>
        <w:fldChar w:fldCharType="separate"/>
      </w:r>
      <w:r>
        <w:rPr>
          <w:noProof/>
        </w:rPr>
        <w:t>54</w:t>
      </w:r>
      <w:r>
        <w:rPr>
          <w:noProof/>
        </w:rPr>
        <w:fldChar w:fldCharType="end"/>
      </w:r>
    </w:p>
    <w:p w14:paraId="625D5F82" w14:textId="50CBF593" w:rsidR="008D6AEF" w:rsidRDefault="008D6AEF">
      <w:pPr>
        <w:pStyle w:val="TOC3"/>
        <w:tabs>
          <w:tab w:val="left" w:pos="1440"/>
        </w:tabs>
        <w:rPr>
          <w:rFonts w:asciiTheme="minorHAnsi" w:eastAsiaTheme="minorEastAsia" w:hAnsiTheme="minorHAnsi"/>
          <w:noProof/>
          <w:color w:val="auto"/>
          <w:sz w:val="22"/>
          <w:szCs w:val="22"/>
        </w:rPr>
      </w:pPr>
      <w:r w:rsidRPr="002404E6">
        <w:rPr>
          <w:rFonts w:eastAsia="Times New Roman" w:cs="Times New Roman"/>
          <w:noProof/>
        </w:rPr>
        <w:t>C.</w:t>
      </w:r>
      <w:r>
        <w:rPr>
          <w:rFonts w:asciiTheme="minorHAnsi" w:eastAsiaTheme="minorEastAsia" w:hAnsiTheme="minorHAnsi"/>
          <w:noProof/>
          <w:color w:val="auto"/>
          <w:sz w:val="22"/>
          <w:szCs w:val="22"/>
        </w:rPr>
        <w:tab/>
      </w:r>
      <w:r w:rsidRPr="002404E6">
        <w:rPr>
          <w:rFonts w:eastAsia="Times New Roman"/>
          <w:noProof/>
        </w:rPr>
        <w:t>GA 38 is preempted by the ADA and Section 504.</w:t>
      </w:r>
      <w:r>
        <w:rPr>
          <w:noProof/>
        </w:rPr>
        <w:tab/>
      </w:r>
      <w:r>
        <w:rPr>
          <w:noProof/>
        </w:rPr>
        <w:fldChar w:fldCharType="begin"/>
      </w:r>
      <w:r>
        <w:rPr>
          <w:noProof/>
        </w:rPr>
        <w:instrText xml:space="preserve"> PAGEREF _Toc83846191 \h </w:instrText>
      </w:r>
      <w:r>
        <w:rPr>
          <w:noProof/>
        </w:rPr>
      </w:r>
      <w:r>
        <w:rPr>
          <w:noProof/>
        </w:rPr>
        <w:fldChar w:fldCharType="separate"/>
      </w:r>
      <w:r>
        <w:rPr>
          <w:noProof/>
        </w:rPr>
        <w:t>55</w:t>
      </w:r>
      <w:r>
        <w:rPr>
          <w:noProof/>
        </w:rPr>
        <w:fldChar w:fldCharType="end"/>
      </w:r>
    </w:p>
    <w:p w14:paraId="3325DA9D" w14:textId="605D732F"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D.</w:t>
      </w:r>
      <w:r>
        <w:rPr>
          <w:rFonts w:asciiTheme="minorHAnsi" w:eastAsiaTheme="minorEastAsia" w:hAnsiTheme="minorHAnsi"/>
          <w:noProof/>
          <w:color w:val="auto"/>
          <w:sz w:val="22"/>
          <w:szCs w:val="22"/>
        </w:rPr>
        <w:tab/>
      </w:r>
      <w:r>
        <w:rPr>
          <w:noProof/>
        </w:rPr>
        <w:t>GA-38 and the TEA’s Public Health Guidance are preempted by the American Rescue Plan Act.</w:t>
      </w:r>
      <w:r>
        <w:rPr>
          <w:noProof/>
        </w:rPr>
        <w:tab/>
      </w:r>
      <w:r>
        <w:rPr>
          <w:noProof/>
        </w:rPr>
        <w:fldChar w:fldCharType="begin"/>
      </w:r>
      <w:r>
        <w:rPr>
          <w:noProof/>
        </w:rPr>
        <w:instrText xml:space="preserve"> PAGEREF _Toc83846192 \h </w:instrText>
      </w:r>
      <w:r>
        <w:rPr>
          <w:noProof/>
        </w:rPr>
      </w:r>
      <w:r>
        <w:rPr>
          <w:noProof/>
        </w:rPr>
        <w:fldChar w:fldCharType="separate"/>
      </w:r>
      <w:r>
        <w:rPr>
          <w:noProof/>
        </w:rPr>
        <w:t>56</w:t>
      </w:r>
      <w:r>
        <w:rPr>
          <w:noProof/>
        </w:rPr>
        <w:fldChar w:fldCharType="end"/>
      </w:r>
    </w:p>
    <w:p w14:paraId="4E409173" w14:textId="45914293" w:rsidR="008D6AEF" w:rsidRDefault="008D6AEF">
      <w:pPr>
        <w:pStyle w:val="TOC4"/>
        <w:rPr>
          <w:rFonts w:asciiTheme="minorHAnsi" w:eastAsiaTheme="minorEastAsia" w:hAnsiTheme="minorHAnsi"/>
          <w:noProof/>
          <w:color w:val="auto"/>
          <w:sz w:val="22"/>
          <w:szCs w:val="22"/>
        </w:rPr>
      </w:pPr>
      <w:r w:rsidRPr="002404E6">
        <w:rPr>
          <w:rFonts w:cs="Times New Roman"/>
          <w:noProof/>
        </w:rPr>
        <w:t>1.</w:t>
      </w:r>
      <w:r>
        <w:rPr>
          <w:rFonts w:asciiTheme="minorHAnsi" w:eastAsiaTheme="minorEastAsia" w:hAnsiTheme="minorHAnsi"/>
          <w:noProof/>
          <w:color w:val="auto"/>
          <w:sz w:val="22"/>
          <w:szCs w:val="22"/>
        </w:rPr>
        <w:tab/>
      </w:r>
      <w:r>
        <w:rPr>
          <w:noProof/>
        </w:rPr>
        <w:t>The Rescue Act expressly gives local school districts discretion to adopt policies, including universal masking, to achieve a safe return to in-person instruction.</w:t>
      </w:r>
      <w:r>
        <w:rPr>
          <w:noProof/>
        </w:rPr>
        <w:tab/>
      </w:r>
      <w:r>
        <w:rPr>
          <w:noProof/>
        </w:rPr>
        <w:fldChar w:fldCharType="begin"/>
      </w:r>
      <w:r>
        <w:rPr>
          <w:noProof/>
        </w:rPr>
        <w:instrText xml:space="preserve"> PAGEREF _Toc83846193 \h </w:instrText>
      </w:r>
      <w:r>
        <w:rPr>
          <w:noProof/>
        </w:rPr>
      </w:r>
      <w:r>
        <w:rPr>
          <w:noProof/>
        </w:rPr>
        <w:fldChar w:fldCharType="separate"/>
      </w:r>
      <w:r>
        <w:rPr>
          <w:noProof/>
        </w:rPr>
        <w:t>57</w:t>
      </w:r>
      <w:r>
        <w:rPr>
          <w:noProof/>
        </w:rPr>
        <w:fldChar w:fldCharType="end"/>
      </w:r>
    </w:p>
    <w:p w14:paraId="1E18CF82" w14:textId="57006E6F" w:rsidR="008D6AEF" w:rsidRDefault="008D6AEF">
      <w:pPr>
        <w:pStyle w:val="TOC4"/>
        <w:rPr>
          <w:rFonts w:asciiTheme="minorHAnsi" w:eastAsiaTheme="minorEastAsia" w:hAnsiTheme="minorHAnsi"/>
          <w:noProof/>
          <w:color w:val="auto"/>
          <w:sz w:val="22"/>
          <w:szCs w:val="22"/>
        </w:rPr>
      </w:pPr>
      <w:r w:rsidRPr="002404E6">
        <w:rPr>
          <w:rFonts w:cs="Times New Roman"/>
          <w:noProof/>
        </w:rPr>
        <w:t>2.</w:t>
      </w:r>
      <w:r>
        <w:rPr>
          <w:rFonts w:asciiTheme="minorHAnsi" w:eastAsiaTheme="minorEastAsia" w:hAnsiTheme="minorHAnsi"/>
          <w:noProof/>
          <w:color w:val="auto"/>
          <w:sz w:val="22"/>
          <w:szCs w:val="22"/>
        </w:rPr>
        <w:tab/>
      </w:r>
      <w:r>
        <w:rPr>
          <w:noProof/>
        </w:rPr>
        <w:t>By barring local school districts from adopting mask requirements, GA-38 and TEA’s Guidance are in direct conflict with the Act.</w:t>
      </w:r>
      <w:r>
        <w:rPr>
          <w:noProof/>
        </w:rPr>
        <w:tab/>
      </w:r>
      <w:r>
        <w:rPr>
          <w:noProof/>
        </w:rPr>
        <w:fldChar w:fldCharType="begin"/>
      </w:r>
      <w:r>
        <w:rPr>
          <w:noProof/>
        </w:rPr>
        <w:instrText xml:space="preserve"> PAGEREF _Toc83846194 \h </w:instrText>
      </w:r>
      <w:r>
        <w:rPr>
          <w:noProof/>
        </w:rPr>
      </w:r>
      <w:r>
        <w:rPr>
          <w:noProof/>
        </w:rPr>
        <w:fldChar w:fldCharType="separate"/>
      </w:r>
      <w:r>
        <w:rPr>
          <w:noProof/>
        </w:rPr>
        <w:t>59</w:t>
      </w:r>
      <w:r>
        <w:rPr>
          <w:noProof/>
        </w:rPr>
        <w:fldChar w:fldCharType="end"/>
      </w:r>
    </w:p>
    <w:p w14:paraId="38DD62D4" w14:textId="7766D39C" w:rsidR="008D6AEF" w:rsidRDefault="008D6AEF">
      <w:pPr>
        <w:pStyle w:val="TOC4"/>
        <w:rPr>
          <w:rFonts w:asciiTheme="minorHAnsi" w:eastAsiaTheme="minorEastAsia" w:hAnsiTheme="minorHAnsi"/>
          <w:noProof/>
          <w:color w:val="auto"/>
          <w:sz w:val="22"/>
          <w:szCs w:val="22"/>
        </w:rPr>
      </w:pPr>
      <w:r w:rsidRPr="002404E6">
        <w:rPr>
          <w:rFonts w:cs="Times New Roman"/>
          <w:noProof/>
        </w:rPr>
        <w:t>3.</w:t>
      </w:r>
      <w:r>
        <w:rPr>
          <w:rFonts w:asciiTheme="minorHAnsi" w:eastAsiaTheme="minorEastAsia" w:hAnsiTheme="minorHAnsi"/>
          <w:noProof/>
          <w:color w:val="auto"/>
          <w:sz w:val="22"/>
          <w:szCs w:val="22"/>
        </w:rPr>
        <w:tab/>
      </w:r>
      <w:r>
        <w:rPr>
          <w:noProof/>
        </w:rPr>
        <w:t>The Rescue Act preemption claim arises under the Court’s well-established equitable power to enjoin unlawful actions by state officials.</w:t>
      </w:r>
      <w:r>
        <w:rPr>
          <w:noProof/>
        </w:rPr>
        <w:tab/>
      </w:r>
      <w:r>
        <w:rPr>
          <w:noProof/>
        </w:rPr>
        <w:fldChar w:fldCharType="begin"/>
      </w:r>
      <w:r>
        <w:rPr>
          <w:noProof/>
        </w:rPr>
        <w:instrText xml:space="preserve"> PAGEREF _Toc83846195 \h </w:instrText>
      </w:r>
      <w:r>
        <w:rPr>
          <w:noProof/>
        </w:rPr>
      </w:r>
      <w:r>
        <w:rPr>
          <w:noProof/>
        </w:rPr>
        <w:fldChar w:fldCharType="separate"/>
      </w:r>
      <w:r>
        <w:rPr>
          <w:noProof/>
        </w:rPr>
        <w:t>60</w:t>
      </w:r>
      <w:r>
        <w:rPr>
          <w:noProof/>
        </w:rPr>
        <w:fldChar w:fldCharType="end"/>
      </w:r>
    </w:p>
    <w:p w14:paraId="20252620" w14:textId="1773CF67" w:rsidR="008D6AEF" w:rsidRDefault="008D6AEF">
      <w:pPr>
        <w:pStyle w:val="TOC3"/>
        <w:tabs>
          <w:tab w:val="left" w:pos="1440"/>
        </w:tabs>
        <w:rPr>
          <w:rFonts w:asciiTheme="minorHAnsi" w:eastAsiaTheme="minorEastAsia" w:hAnsiTheme="minorHAnsi"/>
          <w:noProof/>
          <w:color w:val="auto"/>
          <w:sz w:val="22"/>
          <w:szCs w:val="22"/>
        </w:rPr>
      </w:pPr>
      <w:r w:rsidRPr="002404E6">
        <w:rPr>
          <w:rFonts w:cs="Times New Roman"/>
          <w:noProof/>
        </w:rPr>
        <w:t>E.</w:t>
      </w:r>
      <w:r>
        <w:rPr>
          <w:rFonts w:asciiTheme="minorHAnsi" w:eastAsiaTheme="minorEastAsia" w:hAnsiTheme="minorHAnsi"/>
          <w:noProof/>
          <w:color w:val="auto"/>
          <w:sz w:val="22"/>
          <w:szCs w:val="22"/>
        </w:rPr>
        <w:tab/>
      </w:r>
      <w:r>
        <w:rPr>
          <w:noProof/>
        </w:rPr>
        <w:t>An injunction is necessary to protect Plaintiffs from further harm and is in the public interest.</w:t>
      </w:r>
      <w:r>
        <w:rPr>
          <w:noProof/>
        </w:rPr>
        <w:tab/>
      </w:r>
      <w:r>
        <w:rPr>
          <w:noProof/>
        </w:rPr>
        <w:fldChar w:fldCharType="begin"/>
      </w:r>
      <w:r>
        <w:rPr>
          <w:noProof/>
        </w:rPr>
        <w:instrText xml:space="preserve"> PAGEREF _Toc83846196 \h </w:instrText>
      </w:r>
      <w:r>
        <w:rPr>
          <w:noProof/>
        </w:rPr>
      </w:r>
      <w:r>
        <w:rPr>
          <w:noProof/>
        </w:rPr>
        <w:fldChar w:fldCharType="separate"/>
      </w:r>
      <w:r>
        <w:rPr>
          <w:noProof/>
        </w:rPr>
        <w:t>63</w:t>
      </w:r>
      <w:r>
        <w:rPr>
          <w:noProof/>
        </w:rPr>
        <w:fldChar w:fldCharType="end"/>
      </w:r>
    </w:p>
    <w:p w14:paraId="4C345B90" w14:textId="58561C8F" w:rsidR="008D6AEF" w:rsidRDefault="008D6AEF">
      <w:pPr>
        <w:pStyle w:val="TOC2"/>
        <w:rPr>
          <w:rFonts w:asciiTheme="minorHAnsi" w:eastAsiaTheme="minorEastAsia" w:hAnsiTheme="minorHAnsi"/>
          <w:noProof/>
          <w:color w:val="auto"/>
          <w:sz w:val="22"/>
          <w:szCs w:val="22"/>
        </w:rPr>
      </w:pPr>
      <w:r w:rsidRPr="002404E6">
        <w:rPr>
          <w:rFonts w:cs="Times New Roman"/>
          <w:noProof/>
        </w:rPr>
        <w:t>IV.</w:t>
      </w:r>
      <w:r>
        <w:rPr>
          <w:rFonts w:asciiTheme="minorHAnsi" w:eastAsiaTheme="minorEastAsia" w:hAnsiTheme="minorHAnsi"/>
          <w:noProof/>
          <w:color w:val="auto"/>
          <w:sz w:val="22"/>
          <w:szCs w:val="22"/>
        </w:rPr>
        <w:tab/>
      </w:r>
      <w:r>
        <w:rPr>
          <w:noProof/>
        </w:rPr>
        <w:t>CONCLUSION</w:t>
      </w:r>
      <w:r>
        <w:rPr>
          <w:noProof/>
        </w:rPr>
        <w:tab/>
      </w:r>
      <w:r>
        <w:rPr>
          <w:noProof/>
        </w:rPr>
        <w:fldChar w:fldCharType="begin"/>
      </w:r>
      <w:r>
        <w:rPr>
          <w:noProof/>
        </w:rPr>
        <w:instrText xml:space="preserve"> PAGEREF _Toc83846197 \h </w:instrText>
      </w:r>
      <w:r>
        <w:rPr>
          <w:noProof/>
        </w:rPr>
      </w:r>
      <w:r>
        <w:rPr>
          <w:noProof/>
        </w:rPr>
        <w:fldChar w:fldCharType="separate"/>
      </w:r>
      <w:r>
        <w:rPr>
          <w:noProof/>
        </w:rPr>
        <w:t>64</w:t>
      </w:r>
      <w:r>
        <w:rPr>
          <w:noProof/>
        </w:rPr>
        <w:fldChar w:fldCharType="end"/>
      </w:r>
    </w:p>
    <w:p w14:paraId="3023EC0E" w14:textId="0FA97729" w:rsidR="00626524" w:rsidRDefault="00C8390A" w:rsidP="00626524">
      <w:r>
        <w:fldChar w:fldCharType="end"/>
      </w:r>
    </w:p>
    <w:p w14:paraId="5D7D4952" w14:textId="2A72A508" w:rsidR="00626524" w:rsidRDefault="00626524" w:rsidP="003D21E7">
      <w:pPr>
        <w:spacing w:line="480" w:lineRule="auto"/>
        <w:ind w:left="1080" w:hanging="720"/>
        <w:rPr>
          <w:rFonts w:asciiTheme="minorHAnsi" w:hAnsiTheme="minorHAnsi" w:cstheme="minorHAnsi"/>
        </w:rPr>
      </w:pPr>
    </w:p>
    <w:p w14:paraId="3BBFB553" w14:textId="77777777" w:rsidR="00EC4CE6" w:rsidRDefault="00EC4CE6">
      <w:pPr>
        <w:ind w:left="5040"/>
        <w:rPr>
          <w:rFonts w:asciiTheme="minorHAnsi" w:hAnsiTheme="minorHAnsi" w:cstheme="minorHAnsi"/>
        </w:rPr>
      </w:pPr>
      <w:r>
        <w:rPr>
          <w:rFonts w:asciiTheme="minorHAnsi" w:hAnsiTheme="minorHAnsi" w:cstheme="minorHAnsi"/>
        </w:rPr>
        <w:br w:type="page"/>
      </w:r>
    </w:p>
    <w:p w14:paraId="219CB27B" w14:textId="77777777" w:rsidR="00020F15" w:rsidRDefault="00020F15" w:rsidP="00020F15">
      <w:pPr>
        <w:pStyle w:val="BATOATitle"/>
        <w:rPr>
          <w:rFonts w:cs="Times New Roman"/>
          <w:bCs/>
          <w:noProof/>
          <w:szCs w:val="24"/>
        </w:rPr>
      </w:pPr>
      <w:bookmarkStart w:id="5" w:name="_BA_Bookmark_Marker_A63FF9_0001"/>
      <w:bookmarkStart w:id="6" w:name="_BA_Bookmark_BuildOutput"/>
      <w:r>
        <w:rPr>
          <w:noProof/>
        </w:rPr>
        <w:t>Table of Authorities</w:t>
      </w:r>
    </w:p>
    <w:p w14:paraId="1377EB55" w14:textId="77777777" w:rsidR="00020F15" w:rsidRDefault="00020F15" w:rsidP="00020F15">
      <w:pPr>
        <w:pStyle w:val="BATOAPageHeading"/>
        <w:rPr>
          <w:noProof/>
        </w:rPr>
      </w:pPr>
      <w:r>
        <w:rPr>
          <w:noProof/>
        </w:rPr>
        <w:tab/>
        <w:t>Page(s)</w:t>
      </w:r>
    </w:p>
    <w:p w14:paraId="7A8BDCC3" w14:textId="77777777" w:rsidR="00020F15" w:rsidRDefault="00020F15" w:rsidP="00020F15">
      <w:pPr>
        <w:pStyle w:val="BATOAHeading"/>
        <w:rPr>
          <w:noProof/>
        </w:rPr>
      </w:pPr>
      <w:r>
        <w:rPr>
          <w:noProof/>
        </w:rPr>
        <w:t>Cases</w:t>
      </w:r>
    </w:p>
    <w:p w14:paraId="62A13094" w14:textId="77777777" w:rsidR="00020F15" w:rsidRDefault="00020F15" w:rsidP="00020F15">
      <w:pPr>
        <w:pStyle w:val="BATOAEntry"/>
        <w:rPr>
          <w:noProof/>
        </w:rPr>
      </w:pPr>
      <w:bookmarkStart w:id="7" w:name="_BA_Auth_000048"/>
      <w:r>
        <w:rPr>
          <w:i/>
          <w:iCs/>
          <w:noProof/>
        </w:rPr>
        <w:t>In re Abbott</w:t>
      </w:r>
      <w:r>
        <w:rPr>
          <w:noProof/>
        </w:rPr>
        <w:t>,</w:t>
      </w:r>
      <w:r>
        <w:rPr>
          <w:noProof/>
        </w:rPr>
        <w:br/>
        <w:t xml:space="preserve">956 F.3d 696 (5th Cir. 2020), </w:t>
      </w:r>
      <w:r>
        <w:rPr>
          <w:i/>
          <w:iCs/>
          <w:noProof/>
        </w:rPr>
        <w:t>cert. granted, judgment vacated sub nom.</w:t>
      </w:r>
      <w:r>
        <w:rPr>
          <w:noProof/>
        </w:rPr>
        <w:t xml:space="preserve"> </w:t>
      </w:r>
      <w:r>
        <w:rPr>
          <w:i/>
          <w:iCs/>
          <w:noProof/>
        </w:rPr>
        <w:t>Planned Parenthood Ctr. for Choice v. Abbott</w:t>
      </w:r>
      <w:r>
        <w:rPr>
          <w:noProof/>
        </w:rPr>
        <w:t>, 141 S. Ct. 1261, 209 L. Ed. 2d 5 (2021)</w:t>
      </w:r>
      <w:bookmarkEnd w:id="7"/>
      <w:r>
        <w:rPr>
          <w:noProof/>
        </w:rPr>
        <w:tab/>
      </w:r>
      <w:hyperlink w:anchor="_BA_Cite_A63FF9_000049" w:tooltip="Long: In re Abbott, 956 F.3d 696, 709 (5th Cir. 2020) (Attorney …" w:history="1">
        <w:r>
          <w:rPr>
            <w:noProof/>
          </w:rPr>
          <w:t>31</w:t>
        </w:r>
      </w:hyperlink>
    </w:p>
    <w:p w14:paraId="5CD194D3" w14:textId="77777777" w:rsidR="00020F15" w:rsidRDefault="00020F15" w:rsidP="00020F15">
      <w:pPr>
        <w:pStyle w:val="BATOAEntry"/>
        <w:rPr>
          <w:noProof/>
        </w:rPr>
      </w:pPr>
      <w:bookmarkStart w:id="8" w:name="_BA_Auth_000034"/>
      <w:r>
        <w:rPr>
          <w:i/>
          <w:iCs/>
          <w:noProof/>
        </w:rPr>
        <w:t>Agey v. Am. Liberty Pipe Line Co.</w:t>
      </w:r>
      <w:r>
        <w:rPr>
          <w:noProof/>
        </w:rPr>
        <w:t>,</w:t>
      </w:r>
      <w:r>
        <w:rPr>
          <w:noProof/>
        </w:rPr>
        <w:br/>
        <w:t>172 S.W.2d 972 (Tex. 1943)</w:t>
      </w:r>
      <w:bookmarkEnd w:id="8"/>
      <w:r>
        <w:rPr>
          <w:noProof/>
        </w:rPr>
        <w:tab/>
      </w:r>
      <w:hyperlink w:anchor="_BA_Cite_A63FF9_000035" w:tooltip="Long: Agey v. Am. Liberty Pipe Line Co., 172 S.W.2d 972, 974 (Te…" w:history="1">
        <w:r>
          <w:rPr>
            <w:noProof/>
          </w:rPr>
          <w:t>29</w:t>
        </w:r>
      </w:hyperlink>
    </w:p>
    <w:p w14:paraId="6F47548A" w14:textId="77777777" w:rsidR="00020F15" w:rsidRDefault="00020F15" w:rsidP="00020F15">
      <w:pPr>
        <w:pStyle w:val="BATOAEntry"/>
        <w:rPr>
          <w:noProof/>
        </w:rPr>
      </w:pPr>
      <w:bookmarkStart w:id="9" w:name="_BA_Auth_001002"/>
      <w:r>
        <w:rPr>
          <w:i/>
          <w:iCs/>
          <w:noProof/>
        </w:rPr>
        <w:t>Air Evac EMS, Inc. v. Tex., Dep’t of Ins., Div. of Workers’ Comp.</w:t>
      </w:r>
      <w:r>
        <w:rPr>
          <w:noProof/>
        </w:rPr>
        <w:t>,</w:t>
      </w:r>
      <w:r>
        <w:rPr>
          <w:noProof/>
        </w:rPr>
        <w:br/>
        <w:t>851 F.3d 507 (5th Cir. 2017)</w:t>
      </w:r>
      <w:bookmarkEnd w:id="9"/>
      <w:r>
        <w:rPr>
          <w:noProof/>
        </w:rPr>
        <w:tab/>
      </w:r>
      <w:hyperlink w:anchor="_BA_Cite_A63FF9_001003" w:tooltip="Long: Air Evac EMS, Inc. v. Tex., Dep’t of Ins., Div. of Workers…" w:history="1">
        <w:r>
          <w:rPr>
            <w:noProof/>
          </w:rPr>
          <w:t>30</w:t>
        </w:r>
      </w:hyperlink>
    </w:p>
    <w:p w14:paraId="1E8335EF" w14:textId="77777777" w:rsidR="00020F15" w:rsidRDefault="00020F15" w:rsidP="00020F15">
      <w:pPr>
        <w:pStyle w:val="BATOAEntry"/>
        <w:rPr>
          <w:noProof/>
        </w:rPr>
      </w:pPr>
      <w:bookmarkStart w:id="10" w:name="_BA_Auth_000117"/>
      <w:r>
        <w:rPr>
          <w:i/>
          <w:iCs/>
          <w:noProof/>
        </w:rPr>
        <w:t>Alexander v. Choate</w:t>
      </w:r>
      <w:r>
        <w:rPr>
          <w:noProof/>
        </w:rPr>
        <w:t>,</w:t>
      </w:r>
      <w:r>
        <w:rPr>
          <w:noProof/>
        </w:rPr>
        <w:br/>
        <w:t>469 U.S. 287 (1985)</w:t>
      </w:r>
      <w:bookmarkEnd w:id="10"/>
      <w:r>
        <w:rPr>
          <w:noProof/>
        </w:rPr>
        <w:tab/>
      </w:r>
      <w:hyperlink w:anchor="_BA_Cite_A63FF9_000118" w:tooltip="Long: Alexander v. Choate, 469 U.S. 287, 301 (1985)" w:history="1">
        <w:r>
          <w:rPr>
            <w:noProof/>
          </w:rPr>
          <w:t>51</w:t>
        </w:r>
      </w:hyperlink>
    </w:p>
    <w:p w14:paraId="2AB8D8C8" w14:textId="77777777" w:rsidR="00020F15" w:rsidRDefault="00020F15" w:rsidP="00020F15">
      <w:pPr>
        <w:pStyle w:val="BATOAEntry"/>
        <w:rPr>
          <w:noProof/>
        </w:rPr>
      </w:pPr>
      <w:bookmarkStart w:id="11" w:name="_BA_Auth_000157"/>
      <w:r>
        <w:rPr>
          <w:i/>
          <w:iCs/>
          <w:noProof/>
        </w:rPr>
        <w:t>Alexander v. Sandoval</w:t>
      </w:r>
      <w:r>
        <w:rPr>
          <w:noProof/>
        </w:rPr>
        <w:t>,</w:t>
      </w:r>
      <w:r>
        <w:rPr>
          <w:noProof/>
        </w:rPr>
        <w:br/>
        <w:t>532 U.S. 275 (2001)</w:t>
      </w:r>
      <w:bookmarkEnd w:id="11"/>
      <w:r>
        <w:rPr>
          <w:noProof/>
        </w:rPr>
        <w:tab/>
      </w:r>
      <w:hyperlink w:anchor="_BA_Cite_A63FF9_000158" w:tooltip="Long: Alexander v. Sandoval, 532 U.S. 275, 286 (2001)" w:history="1">
        <w:r>
          <w:rPr>
            <w:noProof/>
          </w:rPr>
          <w:t>60</w:t>
        </w:r>
      </w:hyperlink>
      <w:r>
        <w:rPr>
          <w:noProof/>
        </w:rPr>
        <w:t xml:space="preserve">, </w:t>
      </w:r>
      <w:hyperlink w:anchor="_BA_Cite_A63FF9_000476" w:tooltip="Sandoval, 532 U.S. at 290" w:history="1">
        <w:r>
          <w:rPr>
            <w:noProof/>
          </w:rPr>
          <w:t>61</w:t>
        </w:r>
      </w:hyperlink>
    </w:p>
    <w:p w14:paraId="10614B06" w14:textId="77777777" w:rsidR="00020F15" w:rsidRDefault="00020F15" w:rsidP="00020F15">
      <w:pPr>
        <w:pStyle w:val="BATOAEntry"/>
        <w:rPr>
          <w:noProof/>
        </w:rPr>
      </w:pPr>
      <w:bookmarkStart w:id="12" w:name="_BA_Auth_001025"/>
      <w:r>
        <w:rPr>
          <w:i/>
          <w:iCs/>
          <w:noProof/>
        </w:rPr>
        <w:t>Arc of Iowa</w:t>
      </w:r>
      <w:r>
        <w:rPr>
          <w:noProof/>
        </w:rPr>
        <w:t>, No. 4:21-cv-00264-RP-SBJ, PACER Doc. 17 (S.D. Iowa Sept. 9, 2021)</w:t>
      </w:r>
      <w:bookmarkEnd w:id="12"/>
      <w:r>
        <w:rPr>
          <w:noProof/>
        </w:rPr>
        <w:tab/>
      </w:r>
      <w:hyperlink w:anchor="_BA_Cite_A63FF9_001026" w:tooltip="Long: Arc of Iowa, No. 4:21-cv-00264-RP-SBJ, PACER Doc. 17, at 2…" w:history="1">
        <w:r>
          <w:rPr>
            <w:noProof/>
          </w:rPr>
          <w:t>45</w:t>
        </w:r>
      </w:hyperlink>
    </w:p>
    <w:p w14:paraId="7F87DAE6" w14:textId="77777777" w:rsidR="00020F15" w:rsidRDefault="00020F15" w:rsidP="00020F15">
      <w:pPr>
        <w:pStyle w:val="BATOAEntry"/>
        <w:rPr>
          <w:noProof/>
        </w:rPr>
      </w:pPr>
      <w:bookmarkStart w:id="13" w:name="_BA_Auth_000068"/>
      <w:r>
        <w:rPr>
          <w:i/>
          <w:iCs/>
          <w:noProof/>
        </w:rPr>
        <w:t>ARC of Iowa v. Reynolds</w:t>
      </w:r>
      <w:r>
        <w:rPr>
          <w:noProof/>
        </w:rPr>
        <w:t>,</w:t>
      </w:r>
      <w:r>
        <w:rPr>
          <w:noProof/>
        </w:rPr>
        <w:br/>
        <w:t>2021 WL 4166728 (S.D. Iowa Sept. 13, 2021)</w:t>
      </w:r>
      <w:bookmarkEnd w:id="13"/>
      <w:r>
        <w:rPr>
          <w:noProof/>
        </w:rPr>
        <w:tab/>
      </w:r>
      <w:hyperlink w:anchor="_BA_Cite_A63FF9_000069" w:tooltip="Long: ARC of Iowa v. Reynolds, 2021 WL 4166728, at *1 (S.D. Iowa…" w:history="1">
        <w:r>
          <w:rPr>
            <w:i/>
            <w:iCs/>
            <w:noProof/>
          </w:rPr>
          <w:t>passim</w:t>
        </w:r>
      </w:hyperlink>
    </w:p>
    <w:p w14:paraId="19E5B2D3" w14:textId="77777777" w:rsidR="00020F15" w:rsidRDefault="00020F15" w:rsidP="00020F15">
      <w:pPr>
        <w:pStyle w:val="BATOAEntry"/>
        <w:rPr>
          <w:noProof/>
        </w:rPr>
      </w:pPr>
      <w:bookmarkStart w:id="14" w:name="_BA_Auth_000096"/>
      <w:r>
        <w:rPr>
          <w:i/>
          <w:iCs/>
          <w:noProof/>
        </w:rPr>
        <w:t>Argenyi v. Creighton Univ.</w:t>
      </w:r>
      <w:r>
        <w:rPr>
          <w:noProof/>
        </w:rPr>
        <w:t>,</w:t>
      </w:r>
      <w:r>
        <w:rPr>
          <w:noProof/>
        </w:rPr>
        <w:br/>
        <w:t>703 F.3d 441 (6th Cir. 2013)</w:t>
      </w:r>
      <w:bookmarkEnd w:id="14"/>
      <w:r>
        <w:rPr>
          <w:noProof/>
        </w:rPr>
        <w:tab/>
      </w:r>
      <w:hyperlink w:anchor="_BA_Cite_A63FF9_000097" w:tooltip="Long: Argenyi v. Creighton Univ., 703 F.3d 441, 449 (6th Cir. 20…" w:history="1">
        <w:r>
          <w:rPr>
            <w:noProof/>
          </w:rPr>
          <w:t>46</w:t>
        </w:r>
      </w:hyperlink>
      <w:r>
        <w:rPr>
          <w:noProof/>
        </w:rPr>
        <w:t xml:space="preserve">, </w:t>
      </w:r>
      <w:hyperlink w:anchor="_BA_Cite_A63FF9_000466" w:tooltip="Argenyi, 703 F.3d at 449" w:history="1">
        <w:r>
          <w:rPr>
            <w:noProof/>
          </w:rPr>
          <w:t>49</w:t>
        </w:r>
      </w:hyperlink>
    </w:p>
    <w:p w14:paraId="1C0A1981" w14:textId="77777777" w:rsidR="00020F15" w:rsidRDefault="00020F15" w:rsidP="00020F15">
      <w:pPr>
        <w:pStyle w:val="BATOAEntry"/>
        <w:rPr>
          <w:noProof/>
        </w:rPr>
      </w:pPr>
      <w:bookmarkStart w:id="15" w:name="_BA_Auth_000149"/>
      <w:r>
        <w:rPr>
          <w:i/>
          <w:iCs/>
          <w:noProof/>
        </w:rPr>
        <w:t>Armstrong v. Exceptional Child Center, Inc.</w:t>
      </w:r>
      <w:r>
        <w:rPr>
          <w:noProof/>
        </w:rPr>
        <w:t>,</w:t>
      </w:r>
      <w:r>
        <w:rPr>
          <w:noProof/>
        </w:rPr>
        <w:br/>
        <w:t>575 U.S. 320 (2015)</w:t>
      </w:r>
      <w:bookmarkEnd w:id="15"/>
      <w:r>
        <w:rPr>
          <w:noProof/>
        </w:rPr>
        <w:tab/>
      </w:r>
      <w:hyperlink w:anchor="_BA_Cite_A63FF9_000150" w:tooltip="Long: Armstrong v. Exceptional Child Center, Inc., 575 U.S. 320,…" w:history="1">
        <w:r>
          <w:rPr>
            <w:noProof/>
          </w:rPr>
          <w:t>59</w:t>
        </w:r>
      </w:hyperlink>
      <w:r>
        <w:rPr>
          <w:noProof/>
        </w:rPr>
        <w:t xml:space="preserve">, </w:t>
      </w:r>
      <w:hyperlink w:anchor="_BA_Cite_A63FF9_000520" w:tooltip="Armstrong" w:history="1">
        <w:r>
          <w:rPr>
            <w:noProof/>
          </w:rPr>
          <w:t>60</w:t>
        </w:r>
      </w:hyperlink>
      <w:r>
        <w:rPr>
          <w:noProof/>
        </w:rPr>
        <w:t xml:space="preserve">, </w:t>
      </w:r>
      <w:hyperlink w:anchor="_BA_Cite_A63FF9_000475" w:tooltip="Armstrong, 575 U.S. at 328" w:history="1">
        <w:r>
          <w:rPr>
            <w:noProof/>
          </w:rPr>
          <w:t>61</w:t>
        </w:r>
      </w:hyperlink>
      <w:r>
        <w:rPr>
          <w:noProof/>
        </w:rPr>
        <w:t xml:space="preserve">, </w:t>
      </w:r>
      <w:hyperlink w:anchor="_BA_Cite_A63FF9_000477" w:tooltip="Armstrong, 575 U.S. at 327" w:history="1">
        <w:r>
          <w:rPr>
            <w:noProof/>
          </w:rPr>
          <w:t>62</w:t>
        </w:r>
      </w:hyperlink>
    </w:p>
    <w:p w14:paraId="4A811CF7" w14:textId="77777777" w:rsidR="00020F15" w:rsidRDefault="00020F15" w:rsidP="00020F15">
      <w:pPr>
        <w:pStyle w:val="BATOAEntry"/>
        <w:rPr>
          <w:noProof/>
        </w:rPr>
      </w:pPr>
      <w:bookmarkStart w:id="16" w:name="_BA_Auth_000016"/>
      <w:r>
        <w:rPr>
          <w:i/>
          <w:iCs/>
          <w:noProof/>
        </w:rPr>
        <w:t>Ass’n for Disabled Americans, Inc. v. Fla. Int’l Univ.</w:t>
      </w:r>
      <w:r>
        <w:rPr>
          <w:noProof/>
        </w:rPr>
        <w:t>,</w:t>
      </w:r>
      <w:r>
        <w:rPr>
          <w:noProof/>
        </w:rPr>
        <w:br/>
        <w:t>405 F.3d 954 (11th Cir. 2005)</w:t>
      </w:r>
      <w:bookmarkEnd w:id="16"/>
      <w:r>
        <w:rPr>
          <w:noProof/>
        </w:rPr>
        <w:tab/>
      </w:r>
      <w:hyperlink w:anchor="_BA_Cite_A63FF9_000017" w:tooltip="Long: Ass’n for Disabled Americans, Inc. v. Fla. Int’l Univ., 40…" w:history="1">
        <w:r>
          <w:rPr>
            <w:noProof/>
          </w:rPr>
          <w:t>24</w:t>
        </w:r>
      </w:hyperlink>
    </w:p>
    <w:p w14:paraId="564104EC" w14:textId="77777777" w:rsidR="00020F15" w:rsidRDefault="00020F15" w:rsidP="00020F15">
      <w:pPr>
        <w:pStyle w:val="BATOAEntry"/>
        <w:rPr>
          <w:noProof/>
        </w:rPr>
      </w:pPr>
      <w:bookmarkStart w:id="17" w:name="_BA_Auth_000135"/>
      <w:r>
        <w:rPr>
          <w:i/>
          <w:iCs/>
          <w:noProof/>
        </w:rPr>
        <w:t>Astralis Condo. Ass’n v. Sec’y, U.S. Dep’t of Hous. &amp; Urb. Dev</w:t>
      </w:r>
      <w:r>
        <w:rPr>
          <w:noProof/>
        </w:rPr>
        <w:t>.,</w:t>
      </w:r>
      <w:r>
        <w:rPr>
          <w:noProof/>
        </w:rPr>
        <w:br/>
        <w:t>620 F.3d 62 (1st Cir. 2010)</w:t>
      </w:r>
      <w:bookmarkEnd w:id="17"/>
      <w:r>
        <w:rPr>
          <w:noProof/>
        </w:rPr>
        <w:tab/>
      </w:r>
      <w:hyperlink w:anchor="_BA_Cite_A63FF9_000136" w:tooltip="Long: Astralis Condo. Ass’n v. Sec’y, U.S. Dep’t of Hous. &amp; Urb.…" w:history="1">
        <w:r>
          <w:rPr>
            <w:noProof/>
          </w:rPr>
          <w:t>54</w:t>
        </w:r>
      </w:hyperlink>
    </w:p>
    <w:p w14:paraId="1766BFBB" w14:textId="77777777" w:rsidR="00020F15" w:rsidRDefault="00020F15" w:rsidP="00020F15">
      <w:pPr>
        <w:pStyle w:val="BATOAEntry"/>
        <w:rPr>
          <w:noProof/>
        </w:rPr>
      </w:pPr>
      <w:bookmarkStart w:id="18" w:name="_BA_Auth_000129"/>
      <w:r>
        <w:rPr>
          <w:i/>
          <w:iCs/>
          <w:noProof/>
        </w:rPr>
        <w:t>Bond v. Sheahan</w:t>
      </w:r>
      <w:r>
        <w:rPr>
          <w:noProof/>
        </w:rPr>
        <w:t>,</w:t>
      </w:r>
      <w:r>
        <w:rPr>
          <w:noProof/>
        </w:rPr>
        <w:br/>
        <w:t>152 F. Supp. 2d 1055 (N.D. Ill. 2001)</w:t>
      </w:r>
      <w:bookmarkEnd w:id="18"/>
      <w:r>
        <w:rPr>
          <w:noProof/>
        </w:rPr>
        <w:tab/>
      </w:r>
      <w:hyperlink w:anchor="_BA_Cite_A63FF9_000130" w:tooltip="Long: Bond v. Sheahan, 152 F. Supp. 2d 1055, 1062–63, 1071–75 (N…" w:history="1">
        <w:r>
          <w:rPr>
            <w:noProof/>
          </w:rPr>
          <w:t>53</w:t>
        </w:r>
      </w:hyperlink>
    </w:p>
    <w:p w14:paraId="5BD63549" w14:textId="77777777" w:rsidR="00020F15" w:rsidRDefault="00020F15" w:rsidP="00020F15">
      <w:pPr>
        <w:pStyle w:val="BATOAEntry"/>
        <w:rPr>
          <w:noProof/>
        </w:rPr>
      </w:pPr>
      <w:bookmarkStart w:id="19" w:name="_BA_Auth_000020"/>
      <w:r>
        <w:rPr>
          <w:i/>
          <w:iCs/>
          <w:noProof/>
        </w:rPr>
        <w:t>Bowers v. Nat’l Collegiate Athletic Ass’n</w:t>
      </w:r>
      <w:r>
        <w:rPr>
          <w:noProof/>
        </w:rPr>
        <w:t>,</w:t>
      </w:r>
      <w:r>
        <w:rPr>
          <w:noProof/>
        </w:rPr>
        <w:br/>
        <w:t>475 F.3d 524 (3d Cir. 2007)</w:t>
      </w:r>
      <w:bookmarkEnd w:id="19"/>
      <w:r>
        <w:rPr>
          <w:noProof/>
        </w:rPr>
        <w:tab/>
      </w:r>
      <w:hyperlink w:anchor="_BA_Cite_A63FF9_000021" w:tooltip="Long: Bowers v. Nat’l Collegiate Athletic Ass’n, 475 F.3d 524, 5…" w:history="1">
        <w:r>
          <w:rPr>
            <w:noProof/>
          </w:rPr>
          <w:t>24</w:t>
        </w:r>
      </w:hyperlink>
    </w:p>
    <w:p w14:paraId="43C70EE1" w14:textId="77777777" w:rsidR="00020F15" w:rsidRDefault="00020F15" w:rsidP="00020F15">
      <w:pPr>
        <w:pStyle w:val="BATOAEntry"/>
        <w:rPr>
          <w:noProof/>
        </w:rPr>
      </w:pPr>
      <w:bookmarkStart w:id="20" w:name="_BA_Auth_000105"/>
      <w:r>
        <w:rPr>
          <w:i/>
          <w:iCs/>
          <w:noProof/>
        </w:rPr>
        <w:t>Burnett v. Ocean Properties, Ltd.</w:t>
      </w:r>
      <w:r>
        <w:rPr>
          <w:noProof/>
        </w:rPr>
        <w:t>,</w:t>
      </w:r>
      <w:r>
        <w:rPr>
          <w:noProof/>
        </w:rPr>
        <w:br/>
        <w:t>987 F.3d 57 (1st Cir. 2021)</w:t>
      </w:r>
      <w:bookmarkEnd w:id="20"/>
      <w:r>
        <w:rPr>
          <w:noProof/>
        </w:rPr>
        <w:tab/>
      </w:r>
      <w:hyperlink w:anchor="_BA_Cite_A63FF9_000106" w:tooltip="Long: Burnett v. Ocean Properties, Ltd., 987 F.3d 57, 68–69 (1st…" w:history="1">
        <w:r>
          <w:rPr>
            <w:noProof/>
          </w:rPr>
          <w:t>50</w:t>
        </w:r>
      </w:hyperlink>
    </w:p>
    <w:p w14:paraId="4692B404" w14:textId="77777777" w:rsidR="00020F15" w:rsidRPr="002B509F" w:rsidRDefault="00020F15" w:rsidP="00020F15">
      <w:pPr>
        <w:pStyle w:val="BATOAEntry"/>
        <w:rPr>
          <w:noProof/>
          <w:lang w:val="es-ES"/>
        </w:rPr>
      </w:pPr>
      <w:bookmarkStart w:id="21" w:name="_BA_Auth_000094"/>
      <w:r>
        <w:rPr>
          <w:i/>
          <w:iCs/>
          <w:noProof/>
          <w:lang w:val="es-ES"/>
        </w:rPr>
        <w:t>Cadena v. El Paso Cty</w:t>
      </w:r>
      <w:r>
        <w:rPr>
          <w:noProof/>
          <w:lang w:val="es-ES"/>
        </w:rPr>
        <w:t>.,</w:t>
      </w:r>
      <w:r>
        <w:rPr>
          <w:noProof/>
          <w:lang w:val="es-ES"/>
        </w:rPr>
        <w:br/>
        <w:t>946 F.3d 717 (5th Cir. 2020)</w:t>
      </w:r>
      <w:bookmarkEnd w:id="21"/>
      <w:r w:rsidRPr="002B509F">
        <w:rPr>
          <w:noProof/>
          <w:lang w:val="es-ES"/>
        </w:rPr>
        <w:tab/>
      </w:r>
      <w:hyperlink w:anchor="_BA_Cite_A63FF9_000095" w:tooltip="Long: Cadena v. El Paso Cty., 946 F.3d 717, 723–24 (5th Cir. 202…" w:history="1">
        <w:r w:rsidRPr="002B509F">
          <w:rPr>
            <w:noProof/>
            <w:lang w:val="es-ES"/>
          </w:rPr>
          <w:t>46</w:t>
        </w:r>
      </w:hyperlink>
    </w:p>
    <w:p w14:paraId="0510D4F9" w14:textId="77777777" w:rsidR="00020F15" w:rsidRDefault="00020F15" w:rsidP="00020F15">
      <w:pPr>
        <w:pStyle w:val="BATOAEntry"/>
        <w:rPr>
          <w:noProof/>
        </w:rPr>
      </w:pPr>
      <w:bookmarkStart w:id="22" w:name="_BA_Auth_000998"/>
      <w:r>
        <w:rPr>
          <w:i/>
          <w:iCs/>
          <w:noProof/>
        </w:rPr>
        <w:t>City of Austin v. Paxton</w:t>
      </w:r>
      <w:r>
        <w:rPr>
          <w:noProof/>
        </w:rPr>
        <w:t>,</w:t>
      </w:r>
      <w:r>
        <w:rPr>
          <w:noProof/>
        </w:rPr>
        <w:br/>
        <w:t>943 F.3d 993 (5th Cir. 2019)</w:t>
      </w:r>
      <w:bookmarkEnd w:id="22"/>
      <w:r>
        <w:rPr>
          <w:noProof/>
        </w:rPr>
        <w:tab/>
      </w:r>
      <w:hyperlink w:anchor="_BA_Cite_A63FF9_000999" w:tooltip="Long: City of Austin v. Paxton, 943 F.3d 993, 1000–01 (5th Cir. …" w:history="1">
        <w:r>
          <w:rPr>
            <w:noProof/>
          </w:rPr>
          <w:t>30</w:t>
        </w:r>
      </w:hyperlink>
      <w:r>
        <w:rPr>
          <w:noProof/>
        </w:rPr>
        <w:t xml:space="preserve">, </w:t>
      </w:r>
      <w:hyperlink w:anchor="_BA_Cite_A63FF9_000450" w:tooltip="City of Austin, 943 F.3d 993" w:history="1">
        <w:r>
          <w:rPr>
            <w:noProof/>
          </w:rPr>
          <w:t>31</w:t>
        </w:r>
      </w:hyperlink>
    </w:p>
    <w:p w14:paraId="71C70DED" w14:textId="77777777" w:rsidR="00020F15" w:rsidRDefault="00020F15" w:rsidP="00020F15">
      <w:pPr>
        <w:pStyle w:val="BATOAEntry"/>
        <w:rPr>
          <w:noProof/>
        </w:rPr>
      </w:pPr>
      <w:bookmarkStart w:id="23" w:name="_BA_Auth_000060"/>
      <w:r>
        <w:rPr>
          <w:i/>
          <w:iCs/>
          <w:noProof/>
        </w:rPr>
        <w:t>Clapper v. Amnesty Int’l USA</w:t>
      </w:r>
      <w:r>
        <w:rPr>
          <w:noProof/>
        </w:rPr>
        <w:t>,</w:t>
      </w:r>
      <w:r>
        <w:rPr>
          <w:noProof/>
        </w:rPr>
        <w:br/>
        <w:t>568 U.S. 398 (2013)</w:t>
      </w:r>
      <w:bookmarkEnd w:id="23"/>
      <w:r>
        <w:rPr>
          <w:noProof/>
        </w:rPr>
        <w:tab/>
      </w:r>
      <w:hyperlink w:anchor="_BA_Cite_A63FF9_000061" w:tooltip="Long: Clapper v. Amnesty Int’l USA, 568 U.S. 398, 409 (2013)" w:history="1">
        <w:r>
          <w:rPr>
            <w:noProof/>
          </w:rPr>
          <w:t>33</w:t>
        </w:r>
      </w:hyperlink>
      <w:r>
        <w:rPr>
          <w:noProof/>
        </w:rPr>
        <w:t xml:space="preserve">, </w:t>
      </w:r>
      <w:hyperlink w:anchor="_BA_Cite_A63FF9_000457" w:tooltip="Clapper, 368 U.S. at 414 n. 5" w:history="1">
        <w:r>
          <w:rPr>
            <w:noProof/>
          </w:rPr>
          <w:t>38</w:t>
        </w:r>
      </w:hyperlink>
      <w:r>
        <w:rPr>
          <w:noProof/>
        </w:rPr>
        <w:t xml:space="preserve">, </w:t>
      </w:r>
      <w:hyperlink w:anchor="_BA_Cite_A63FF9_000075" w:tooltip="Clapper v. Amnesty International USA, 568 U.S. 398 (2013)" w:history="1">
        <w:r>
          <w:rPr>
            <w:noProof/>
          </w:rPr>
          <w:t>39</w:t>
        </w:r>
      </w:hyperlink>
    </w:p>
    <w:p w14:paraId="7C6E2326" w14:textId="77777777" w:rsidR="00020F15" w:rsidRDefault="00020F15" w:rsidP="00020F15">
      <w:pPr>
        <w:pStyle w:val="BATOAEntry"/>
        <w:rPr>
          <w:noProof/>
        </w:rPr>
      </w:pPr>
      <w:bookmarkStart w:id="24" w:name="_BA_Auth_000159"/>
      <w:r>
        <w:rPr>
          <w:i/>
          <w:iCs/>
          <w:noProof/>
        </w:rPr>
        <w:t>Coastal Habitat Alliance v. Patterson</w:t>
      </w:r>
      <w:r>
        <w:rPr>
          <w:noProof/>
        </w:rPr>
        <w:t>,</w:t>
      </w:r>
      <w:r>
        <w:rPr>
          <w:noProof/>
        </w:rPr>
        <w:br/>
        <w:t>601 F. Supp. 2d 868 (W.D. Tex. 2008)</w:t>
      </w:r>
      <w:bookmarkEnd w:id="24"/>
      <w:r>
        <w:rPr>
          <w:noProof/>
        </w:rPr>
        <w:tab/>
      </w:r>
      <w:hyperlink w:anchor="_BA_Cite_A63FF9_000160" w:tooltip="Long: Coastal Habitat Alliance v. Patterson, 601 F. Supp. 2d 868…" w:history="1">
        <w:r>
          <w:rPr>
            <w:noProof/>
          </w:rPr>
          <w:t>60</w:t>
        </w:r>
      </w:hyperlink>
    </w:p>
    <w:p w14:paraId="284751EE" w14:textId="77777777" w:rsidR="00020F15" w:rsidRDefault="00020F15" w:rsidP="00020F15">
      <w:pPr>
        <w:pStyle w:val="BATOAEntry"/>
        <w:rPr>
          <w:noProof/>
        </w:rPr>
      </w:pPr>
      <w:bookmarkStart w:id="25" w:name="_BA_Auth_000018"/>
      <w:r>
        <w:rPr>
          <w:i/>
          <w:iCs/>
          <w:noProof/>
        </w:rPr>
        <w:t>Constantine v. Rectors &amp; Visitors of George Mason Univ.</w:t>
      </w:r>
      <w:r>
        <w:rPr>
          <w:noProof/>
        </w:rPr>
        <w:t>,</w:t>
      </w:r>
      <w:r>
        <w:rPr>
          <w:noProof/>
        </w:rPr>
        <w:br/>
        <w:t>411 F.3d 474 (4th Cir. 2005)</w:t>
      </w:r>
      <w:bookmarkEnd w:id="25"/>
      <w:r>
        <w:rPr>
          <w:noProof/>
        </w:rPr>
        <w:tab/>
      </w:r>
      <w:hyperlink w:anchor="_BA_Cite_A63FF9_000019" w:tooltip="Long: Constantine v. Rectors &amp; Visitors of George Mason Univ., 4…" w:history="1">
        <w:r>
          <w:rPr>
            <w:noProof/>
          </w:rPr>
          <w:t>24</w:t>
        </w:r>
      </w:hyperlink>
    </w:p>
    <w:p w14:paraId="531EEB4E" w14:textId="77777777" w:rsidR="00020F15" w:rsidRDefault="00020F15" w:rsidP="00020F15">
      <w:pPr>
        <w:pStyle w:val="BATOAEntry"/>
        <w:rPr>
          <w:noProof/>
        </w:rPr>
      </w:pPr>
      <w:bookmarkStart w:id="26" w:name="_BA_Auth_000133"/>
      <w:r>
        <w:rPr>
          <w:i/>
          <w:iCs/>
          <w:noProof/>
        </w:rPr>
        <w:t>Crosby v. Nat’l Foreign Trade Council</w:t>
      </w:r>
      <w:r>
        <w:rPr>
          <w:noProof/>
        </w:rPr>
        <w:t>,</w:t>
      </w:r>
      <w:r>
        <w:rPr>
          <w:noProof/>
        </w:rPr>
        <w:br/>
        <w:t>530 U.S. 363 (2000)</w:t>
      </w:r>
      <w:bookmarkEnd w:id="26"/>
      <w:r>
        <w:rPr>
          <w:noProof/>
        </w:rPr>
        <w:tab/>
      </w:r>
      <w:hyperlink w:anchor="_BA_Cite_A63FF9_000134" w:tooltip="Long: Crosby v. Nat’l Foreign Trade Council, 530 U.S. 363, 378 (…" w:history="1">
        <w:r>
          <w:rPr>
            <w:noProof/>
          </w:rPr>
          <w:t>54</w:t>
        </w:r>
      </w:hyperlink>
    </w:p>
    <w:p w14:paraId="6435F2FD" w14:textId="77777777" w:rsidR="00020F15" w:rsidRDefault="00020F15" w:rsidP="00020F15">
      <w:pPr>
        <w:pStyle w:val="BATOAEntry"/>
        <w:rPr>
          <w:noProof/>
        </w:rPr>
      </w:pPr>
      <w:bookmarkStart w:id="27" w:name="_BA_Auth_000012"/>
      <w:r>
        <w:rPr>
          <w:i/>
          <w:iCs/>
          <w:noProof/>
        </w:rPr>
        <w:t>Danny R. v. Spring Branch ISD &amp; Tex. Educ. Agency</w:t>
      </w:r>
      <w:r>
        <w:rPr>
          <w:noProof/>
        </w:rPr>
        <w:t>,</w:t>
      </w:r>
      <w:r>
        <w:rPr>
          <w:noProof/>
        </w:rPr>
        <w:br/>
        <w:t>124 Fed. Appx. 289 (5th Cir. 2005)</w:t>
      </w:r>
      <w:bookmarkEnd w:id="27"/>
      <w:r>
        <w:rPr>
          <w:noProof/>
        </w:rPr>
        <w:tab/>
      </w:r>
      <w:hyperlink w:anchor="_BA_Cite_A63FF9_000013" w:tooltip="Long: Danny R. v. Spring Branch ISD &amp; Tex. Educ. Agency, 124 Fed…" w:history="1">
        <w:r>
          <w:rPr>
            <w:noProof/>
          </w:rPr>
          <w:t>23</w:t>
        </w:r>
      </w:hyperlink>
    </w:p>
    <w:p w14:paraId="2FF6ACEA" w14:textId="153CCDF0" w:rsidR="00782EE6" w:rsidRDefault="00782EE6" w:rsidP="00020F15">
      <w:pPr>
        <w:pStyle w:val="BATOAEntry"/>
        <w:rPr>
          <w:i/>
          <w:iCs/>
          <w:noProof/>
        </w:rPr>
      </w:pPr>
      <w:bookmarkStart w:id="28" w:name="_BA_Auth_000137"/>
      <w:r w:rsidRPr="00782EE6">
        <w:rPr>
          <w:i/>
          <w:iCs/>
          <w:noProof/>
        </w:rPr>
        <w:t>Disability Rights South Carolina v. McMaster</w:t>
      </w:r>
      <w:r w:rsidRPr="00782EE6">
        <w:rPr>
          <w:noProof/>
        </w:rPr>
        <w:t>,</w:t>
      </w:r>
      <w:r>
        <w:rPr>
          <w:noProof/>
        </w:rPr>
        <w:br/>
      </w:r>
      <w:r w:rsidRPr="00782EE6">
        <w:rPr>
          <w:noProof/>
        </w:rPr>
        <w:t xml:space="preserve"> No. 3:21-02728-MGL, 2021 WL 4444841, *11 (D.S.C. Sept. 28, 2021)</w:t>
      </w:r>
      <w:r>
        <w:rPr>
          <w:noProof/>
        </w:rPr>
        <w:tab/>
        <w:t>46</w:t>
      </w:r>
    </w:p>
    <w:p w14:paraId="04B7C415" w14:textId="7AE14A92" w:rsidR="00020F15" w:rsidRDefault="00020F15" w:rsidP="00020F15">
      <w:pPr>
        <w:pStyle w:val="BATOAEntry"/>
        <w:rPr>
          <w:noProof/>
        </w:rPr>
      </w:pPr>
      <w:r>
        <w:rPr>
          <w:i/>
          <w:iCs/>
          <w:noProof/>
        </w:rPr>
        <w:t>Felder v. Casey</w:t>
      </w:r>
      <w:r>
        <w:rPr>
          <w:noProof/>
        </w:rPr>
        <w:t>,</w:t>
      </w:r>
      <w:r>
        <w:rPr>
          <w:noProof/>
        </w:rPr>
        <w:br/>
        <w:t>487 U.S. 131 (1988)</w:t>
      </w:r>
      <w:bookmarkEnd w:id="28"/>
      <w:r>
        <w:rPr>
          <w:noProof/>
        </w:rPr>
        <w:tab/>
      </w:r>
      <w:hyperlink w:anchor="_BA_Cite_A63FF9_000138" w:tooltip="Long: Felder v. Casey, 487 U.S. 131, 138 (1988)" w:history="1">
        <w:r>
          <w:rPr>
            <w:noProof/>
          </w:rPr>
          <w:t>55</w:t>
        </w:r>
      </w:hyperlink>
      <w:r>
        <w:rPr>
          <w:noProof/>
        </w:rPr>
        <w:t xml:space="preserve">, </w:t>
      </w:r>
      <w:hyperlink w:anchor="_BA_Cite_A63FF9_000470" w:tooltip="Felder, 487 U.S. at 138" w:history="1">
        <w:r>
          <w:rPr>
            <w:noProof/>
          </w:rPr>
          <w:t>59</w:t>
        </w:r>
      </w:hyperlink>
    </w:p>
    <w:p w14:paraId="18EA09E3" w14:textId="77777777" w:rsidR="00020F15" w:rsidRDefault="00020F15" w:rsidP="00020F15">
      <w:pPr>
        <w:pStyle w:val="BATOAEntry"/>
        <w:rPr>
          <w:noProof/>
        </w:rPr>
      </w:pPr>
      <w:bookmarkStart w:id="29" w:name="_BA_Auth_000139"/>
      <w:r>
        <w:rPr>
          <w:i/>
          <w:iCs/>
          <w:noProof/>
        </w:rPr>
        <w:t>Free v. Bland</w:t>
      </w:r>
      <w:r>
        <w:rPr>
          <w:noProof/>
        </w:rPr>
        <w:t>,</w:t>
      </w:r>
      <w:r>
        <w:rPr>
          <w:noProof/>
        </w:rPr>
        <w:br/>
        <w:t>369 U.S. 663 (1962)</w:t>
      </w:r>
      <w:bookmarkEnd w:id="29"/>
      <w:r>
        <w:rPr>
          <w:noProof/>
        </w:rPr>
        <w:tab/>
      </w:r>
      <w:hyperlink w:anchor="_BA_Cite_A63FF9_000140" w:tooltip="Long: Free v. Bland, 369 U.S. 663, 666 (1962)" w:history="1">
        <w:r>
          <w:rPr>
            <w:noProof/>
          </w:rPr>
          <w:t>55</w:t>
        </w:r>
      </w:hyperlink>
    </w:p>
    <w:p w14:paraId="6589FC0A" w14:textId="77777777" w:rsidR="00020F15" w:rsidRDefault="00020F15" w:rsidP="00020F15">
      <w:pPr>
        <w:pStyle w:val="BATOAEntry"/>
        <w:rPr>
          <w:noProof/>
        </w:rPr>
      </w:pPr>
      <w:bookmarkStart w:id="30" w:name="_BA_Auth_000314"/>
      <w:r>
        <w:rPr>
          <w:i/>
          <w:iCs/>
          <w:noProof/>
        </w:rPr>
        <w:t>G.S</w:t>
      </w:r>
      <w:r>
        <w:rPr>
          <w:noProof/>
        </w:rPr>
        <w:t>.</w:t>
      </w:r>
      <w:r>
        <w:rPr>
          <w:i/>
          <w:iCs/>
          <w:noProof/>
        </w:rPr>
        <w:t xml:space="preserve"> by &amp; through Schwaigert v. Lee</w:t>
      </w:r>
      <w:r>
        <w:rPr>
          <w:noProof/>
        </w:rPr>
        <w:t>,</w:t>
      </w:r>
      <w:r>
        <w:rPr>
          <w:noProof/>
        </w:rPr>
        <w:br/>
        <w:t>No. 21-CV-025520SHL-ATC, 2021 WL 4057812 (W.D. Tenn. Sept. 3, 2021)</w:t>
      </w:r>
      <w:bookmarkEnd w:id="30"/>
      <w:r>
        <w:rPr>
          <w:noProof/>
        </w:rPr>
        <w:tab/>
      </w:r>
      <w:hyperlink w:anchor="_BA_Cite_A63FF9_000630" w:tooltip="G.S." w:history="1">
        <w:r>
          <w:rPr>
            <w:noProof/>
          </w:rPr>
          <w:t>44</w:t>
        </w:r>
      </w:hyperlink>
      <w:r>
        <w:rPr>
          <w:noProof/>
        </w:rPr>
        <w:t xml:space="preserve">, </w:t>
      </w:r>
      <w:hyperlink w:anchor="_BA_Cite_A63FF9_000319" w:tooltip="G.S., 2021" w:history="1">
        <w:r>
          <w:rPr>
            <w:noProof/>
          </w:rPr>
          <w:t>45</w:t>
        </w:r>
      </w:hyperlink>
      <w:r>
        <w:rPr>
          <w:noProof/>
        </w:rPr>
        <w:t xml:space="preserve">, </w:t>
      </w:r>
      <w:hyperlink w:anchor="_BA_Cite_A63FF9_000364" w:tooltip="G.S., 2021" w:history="1">
        <w:r>
          <w:rPr>
            <w:noProof/>
          </w:rPr>
          <w:t>54</w:t>
        </w:r>
      </w:hyperlink>
    </w:p>
    <w:p w14:paraId="7996FCC5" w14:textId="77777777" w:rsidR="00020F15" w:rsidRDefault="00020F15" w:rsidP="00020F15">
      <w:pPr>
        <w:pStyle w:val="BATOAEntry"/>
        <w:rPr>
          <w:noProof/>
        </w:rPr>
      </w:pPr>
      <w:bookmarkStart w:id="31" w:name="_BA_Auth_000064"/>
      <w:r>
        <w:rPr>
          <w:i/>
          <w:iCs/>
          <w:noProof/>
        </w:rPr>
        <w:t>Gill v. Whitford</w:t>
      </w:r>
      <w:r>
        <w:rPr>
          <w:noProof/>
        </w:rPr>
        <w:t>,</w:t>
      </w:r>
      <w:r>
        <w:rPr>
          <w:noProof/>
        </w:rPr>
        <w:br/>
        <w:t>138 S.Ct. 1916 (2018)</w:t>
      </w:r>
      <w:bookmarkEnd w:id="31"/>
      <w:r>
        <w:rPr>
          <w:noProof/>
        </w:rPr>
        <w:tab/>
      </w:r>
      <w:hyperlink w:anchor="_BA_Cite_A63FF9_000065" w:tooltip="Long: Gill v. Whitford, 138 S.Ct. 1916, 1929 (2018)" w:history="1">
        <w:r>
          <w:rPr>
            <w:noProof/>
          </w:rPr>
          <w:t>34</w:t>
        </w:r>
      </w:hyperlink>
    </w:p>
    <w:p w14:paraId="306C1C69" w14:textId="77777777" w:rsidR="00020F15" w:rsidRDefault="00020F15" w:rsidP="00020F15">
      <w:pPr>
        <w:pStyle w:val="BATOAEntry"/>
        <w:rPr>
          <w:noProof/>
        </w:rPr>
      </w:pPr>
      <w:bookmarkStart w:id="32" w:name="_BA_Auth_000076"/>
      <w:r>
        <w:rPr>
          <w:i/>
          <w:iCs/>
          <w:noProof/>
        </w:rPr>
        <w:t>Glass v. Paxton</w:t>
      </w:r>
      <w:r>
        <w:rPr>
          <w:noProof/>
        </w:rPr>
        <w:t>,</w:t>
      </w:r>
      <w:r>
        <w:rPr>
          <w:noProof/>
        </w:rPr>
        <w:br/>
        <w:t>900 F.3d 233 (5th Cir. 2018)</w:t>
      </w:r>
      <w:bookmarkEnd w:id="32"/>
      <w:r>
        <w:rPr>
          <w:noProof/>
        </w:rPr>
        <w:tab/>
      </w:r>
      <w:hyperlink w:anchor="_BA_Cite_A63FF9_000077" w:tooltip="Long: Glass v. Paxton, 900 F.3d 233 (5th Cir. 2018)" w:history="1">
        <w:r>
          <w:rPr>
            <w:noProof/>
          </w:rPr>
          <w:t>39</w:t>
        </w:r>
      </w:hyperlink>
    </w:p>
    <w:p w14:paraId="3E8AB1F3" w14:textId="77777777" w:rsidR="00020F15" w:rsidRDefault="00020F15" w:rsidP="00020F15">
      <w:pPr>
        <w:pStyle w:val="BATOAEntry"/>
        <w:rPr>
          <w:noProof/>
        </w:rPr>
      </w:pPr>
      <w:bookmarkStart w:id="33" w:name="_BA_Auth_000107"/>
      <w:r>
        <w:rPr>
          <w:i/>
          <w:iCs/>
          <w:noProof/>
        </w:rPr>
        <w:t>Gleed v. AT &amp; T Mobility Services, LLC</w:t>
      </w:r>
      <w:r>
        <w:rPr>
          <w:noProof/>
        </w:rPr>
        <w:t>,</w:t>
      </w:r>
      <w:r>
        <w:rPr>
          <w:noProof/>
        </w:rPr>
        <w:br/>
        <w:t>613 F. App’x 535 (6th Cir. 2015)</w:t>
      </w:r>
      <w:bookmarkEnd w:id="33"/>
      <w:r>
        <w:rPr>
          <w:noProof/>
        </w:rPr>
        <w:tab/>
      </w:r>
      <w:hyperlink w:anchor="_BA_Cite_A63FF9_000108" w:tooltip="Long: Gleed v. AT &amp; T Mobility Services, LLC, 613 F. App’x 535, …" w:history="1">
        <w:r>
          <w:rPr>
            <w:noProof/>
          </w:rPr>
          <w:t>50</w:t>
        </w:r>
      </w:hyperlink>
    </w:p>
    <w:p w14:paraId="69D98DE4" w14:textId="77777777" w:rsidR="00020F15" w:rsidRDefault="00020F15" w:rsidP="00020F15">
      <w:pPr>
        <w:pStyle w:val="BATOAEntry"/>
        <w:rPr>
          <w:noProof/>
        </w:rPr>
      </w:pPr>
      <w:bookmarkStart w:id="34" w:name="_BA_Auth_000066"/>
      <w:r>
        <w:rPr>
          <w:i/>
          <w:iCs/>
          <w:noProof/>
        </w:rPr>
        <w:t>Goss v. Lopez</w:t>
      </w:r>
      <w:r>
        <w:rPr>
          <w:noProof/>
        </w:rPr>
        <w:t>,</w:t>
      </w:r>
      <w:r>
        <w:rPr>
          <w:noProof/>
        </w:rPr>
        <w:br/>
        <w:t>419 U.S. 565 (1975)</w:t>
      </w:r>
      <w:bookmarkEnd w:id="34"/>
      <w:r>
        <w:rPr>
          <w:noProof/>
        </w:rPr>
        <w:tab/>
      </w:r>
      <w:hyperlink w:anchor="_BA_Cite_A63FF9_000067" w:tooltip="Long: Goss v. Lopez, 419 U.S. 565, 574 (1975)" w:history="1">
        <w:r>
          <w:rPr>
            <w:noProof/>
          </w:rPr>
          <w:t>34</w:t>
        </w:r>
      </w:hyperlink>
    </w:p>
    <w:p w14:paraId="5A256321" w14:textId="77777777" w:rsidR="00020F15" w:rsidRDefault="00020F15" w:rsidP="00020F15">
      <w:pPr>
        <w:pStyle w:val="BATOAEntry"/>
        <w:rPr>
          <w:noProof/>
        </w:rPr>
      </w:pPr>
      <w:bookmarkStart w:id="35" w:name="_BA_Auth_000165"/>
      <w:r>
        <w:rPr>
          <w:i/>
          <w:iCs/>
          <w:noProof/>
        </w:rPr>
        <w:t>Gresham v. Windrush Partners, Ltd.</w:t>
      </w:r>
      <w:r>
        <w:rPr>
          <w:noProof/>
        </w:rPr>
        <w:t>,</w:t>
      </w:r>
      <w:r>
        <w:rPr>
          <w:noProof/>
        </w:rPr>
        <w:br/>
        <w:t>730 F.2d 1417 (11th Cir. 1984)</w:t>
      </w:r>
      <w:bookmarkEnd w:id="35"/>
      <w:r>
        <w:rPr>
          <w:noProof/>
        </w:rPr>
        <w:tab/>
      </w:r>
      <w:hyperlink w:anchor="_BA_Cite_A63FF9_000166" w:tooltip="Long: Gresham v. Windrush Partners, Ltd., 730 F.2d 1417, 1423 (1…" w:history="1">
        <w:r>
          <w:rPr>
            <w:noProof/>
          </w:rPr>
          <w:t>62</w:t>
        </w:r>
      </w:hyperlink>
    </w:p>
    <w:p w14:paraId="6758DA21" w14:textId="77777777" w:rsidR="00020F15" w:rsidRDefault="00020F15" w:rsidP="00020F15">
      <w:pPr>
        <w:pStyle w:val="BATOAEntry"/>
        <w:rPr>
          <w:noProof/>
        </w:rPr>
      </w:pPr>
      <w:bookmarkStart w:id="36" w:name="_BA_Auth_000024"/>
      <w:r>
        <w:rPr>
          <w:i/>
          <w:iCs/>
          <w:noProof/>
        </w:rPr>
        <w:t>Guttman v. Khalsa</w:t>
      </w:r>
      <w:r>
        <w:rPr>
          <w:noProof/>
        </w:rPr>
        <w:t>,</w:t>
      </w:r>
      <w:r>
        <w:rPr>
          <w:noProof/>
        </w:rPr>
        <w:br/>
        <w:t>669 F.3d 1101 (10th Cir. 2012)</w:t>
      </w:r>
      <w:bookmarkEnd w:id="36"/>
      <w:r>
        <w:rPr>
          <w:noProof/>
        </w:rPr>
        <w:tab/>
      </w:r>
      <w:hyperlink w:anchor="_BA_Cite_A63FF9_000025" w:tooltip="Long: Guttman v. Khalsa, 669 F.3d 1101, 1123 (10th Cir. 2012)" w:history="1">
        <w:r>
          <w:rPr>
            <w:noProof/>
          </w:rPr>
          <w:t>24</w:t>
        </w:r>
      </w:hyperlink>
    </w:p>
    <w:p w14:paraId="56B50877" w14:textId="77777777" w:rsidR="00020F15" w:rsidRDefault="00020F15" w:rsidP="00020F15">
      <w:pPr>
        <w:pStyle w:val="BATOAEntry"/>
        <w:rPr>
          <w:noProof/>
        </w:rPr>
      </w:pPr>
      <w:bookmarkStart w:id="37" w:name="_BA_Auth_000092"/>
      <w:r w:rsidRPr="002B509F">
        <w:rPr>
          <w:i/>
          <w:iCs/>
          <w:noProof/>
          <w:lang w:val="es-ES"/>
        </w:rPr>
        <w:t>Hayes v. Desantis</w:t>
      </w:r>
      <w:r w:rsidRPr="002B509F">
        <w:rPr>
          <w:noProof/>
          <w:lang w:val="es-ES"/>
        </w:rPr>
        <w:t>,</w:t>
      </w:r>
      <w:r w:rsidRPr="002B509F">
        <w:rPr>
          <w:noProof/>
          <w:lang w:val="es-ES"/>
        </w:rPr>
        <w:br/>
        <w:t xml:space="preserve">No. 1:21-cv-22863, ___ F. Supp. 3d ___, 2021 WL 4236698 (S.D. Fla. </w:t>
      </w:r>
      <w:r>
        <w:rPr>
          <w:noProof/>
        </w:rPr>
        <w:t>Sept. 15, 2021)</w:t>
      </w:r>
      <w:bookmarkEnd w:id="37"/>
      <w:r>
        <w:rPr>
          <w:noProof/>
        </w:rPr>
        <w:tab/>
      </w:r>
      <w:hyperlink w:anchor="_BA_Cite_A63FF9_000093" w:tooltip="Long: Hayes v. Desantis, No. 1:21-cv-22863, ___ F. Supp. 3d ___,…" w:history="1">
        <w:r>
          <w:rPr>
            <w:noProof/>
          </w:rPr>
          <w:t>45</w:t>
        </w:r>
      </w:hyperlink>
    </w:p>
    <w:p w14:paraId="7A12AD52" w14:textId="77777777" w:rsidR="00020F15" w:rsidRDefault="00020F15" w:rsidP="00020F15">
      <w:pPr>
        <w:pStyle w:val="BATOAEntry"/>
        <w:rPr>
          <w:noProof/>
        </w:rPr>
      </w:pPr>
      <w:bookmarkStart w:id="38" w:name="_BA_Auth_000098"/>
      <w:r>
        <w:rPr>
          <w:i/>
          <w:iCs/>
          <w:noProof/>
        </w:rPr>
        <w:t>Helling v. McKinney</w:t>
      </w:r>
      <w:r>
        <w:rPr>
          <w:noProof/>
        </w:rPr>
        <w:t>,</w:t>
      </w:r>
      <w:r>
        <w:rPr>
          <w:noProof/>
        </w:rPr>
        <w:br/>
        <w:t>509 U.S. 25 (1993)</w:t>
      </w:r>
      <w:bookmarkEnd w:id="38"/>
      <w:r>
        <w:rPr>
          <w:noProof/>
        </w:rPr>
        <w:tab/>
      </w:r>
      <w:hyperlink w:anchor="_BA_Cite_A63FF9_000099" w:tooltip="Long: Helling v. McKinney" w:history="1">
        <w:r>
          <w:rPr>
            <w:noProof/>
          </w:rPr>
          <w:t>49</w:t>
        </w:r>
      </w:hyperlink>
      <w:r>
        <w:rPr>
          <w:noProof/>
        </w:rPr>
        <w:t xml:space="preserve">, </w:t>
      </w:r>
      <w:hyperlink w:anchor="_BA_Cite_A63FF9_000559" w:tooltip="Id. at 28" w:history="1">
        <w:r>
          <w:rPr>
            <w:noProof/>
          </w:rPr>
          <w:t>50</w:t>
        </w:r>
      </w:hyperlink>
    </w:p>
    <w:p w14:paraId="399018CD" w14:textId="77777777" w:rsidR="00020F15" w:rsidRDefault="00020F15" w:rsidP="00020F15">
      <w:pPr>
        <w:pStyle w:val="BATOAEntry"/>
        <w:rPr>
          <w:noProof/>
        </w:rPr>
      </w:pPr>
      <w:bookmarkStart w:id="39" w:name="_BA_Auth_001000"/>
      <w:r>
        <w:rPr>
          <w:i/>
          <w:iCs/>
          <w:noProof/>
        </w:rPr>
        <w:t>K.P. v. LeBlanc</w:t>
      </w:r>
      <w:r>
        <w:rPr>
          <w:noProof/>
        </w:rPr>
        <w:t>,</w:t>
      </w:r>
      <w:r>
        <w:rPr>
          <w:noProof/>
        </w:rPr>
        <w:br/>
        <w:t>627 F.3d 115 (5th Cir. 2010)</w:t>
      </w:r>
      <w:bookmarkEnd w:id="39"/>
      <w:r>
        <w:rPr>
          <w:noProof/>
        </w:rPr>
        <w:tab/>
      </w:r>
      <w:hyperlink w:anchor="_BA_Cite_A63FF9_001001" w:tooltip="Long: K.P. v. LeBlanc, 627 F.3d 115 (5th Cir. 2010)" w:history="1">
        <w:r>
          <w:rPr>
            <w:noProof/>
          </w:rPr>
          <w:t>30</w:t>
        </w:r>
      </w:hyperlink>
    </w:p>
    <w:p w14:paraId="68144D9B" w14:textId="77777777" w:rsidR="00020F15" w:rsidRDefault="00020F15" w:rsidP="00020F15">
      <w:pPr>
        <w:pStyle w:val="BATOAEntry"/>
        <w:rPr>
          <w:noProof/>
        </w:rPr>
      </w:pPr>
      <w:bookmarkStart w:id="40" w:name="_BA_Auth_000109"/>
      <w:r>
        <w:rPr>
          <w:i/>
          <w:iCs/>
          <w:noProof/>
        </w:rPr>
        <w:t>Kleyman v. SUNY Downstate Med. Ctr.</w:t>
      </w:r>
      <w:r>
        <w:rPr>
          <w:noProof/>
        </w:rPr>
        <w:t>,</w:t>
      </w:r>
      <w:r>
        <w:rPr>
          <w:noProof/>
        </w:rPr>
        <w:br/>
        <w:t>No. 18CV3137PKCST, 2020 WL 5645218 (E.D.N.Y. Sept. 21, 2020)</w:t>
      </w:r>
      <w:bookmarkEnd w:id="40"/>
      <w:r>
        <w:rPr>
          <w:noProof/>
        </w:rPr>
        <w:tab/>
      </w:r>
      <w:hyperlink w:anchor="_BA_Cite_A63FF9_000110" w:tooltip="Long: Kleyman v. SUNY Downstate Med. Ctr., No. 18CV3137PKCST, 20…" w:history="1">
        <w:r>
          <w:rPr>
            <w:noProof/>
          </w:rPr>
          <w:t>50</w:t>
        </w:r>
      </w:hyperlink>
    </w:p>
    <w:p w14:paraId="6DF22B0B" w14:textId="77777777" w:rsidR="00020F15" w:rsidRDefault="00020F15" w:rsidP="00020F15">
      <w:pPr>
        <w:pStyle w:val="BATOAEntry"/>
        <w:rPr>
          <w:noProof/>
        </w:rPr>
      </w:pPr>
      <w:bookmarkStart w:id="41" w:name="_BA_Auth_000145"/>
      <w:r>
        <w:rPr>
          <w:i/>
          <w:iCs/>
          <w:noProof/>
        </w:rPr>
        <w:t>Lawrence County v. Lead-Deadwood School Dist.</w:t>
      </w:r>
      <w:r>
        <w:rPr>
          <w:noProof/>
        </w:rPr>
        <w:t>,</w:t>
      </w:r>
      <w:r>
        <w:rPr>
          <w:noProof/>
        </w:rPr>
        <w:br/>
        <w:t>469 U.S. 256 (1984)</w:t>
      </w:r>
      <w:bookmarkEnd w:id="41"/>
      <w:r>
        <w:rPr>
          <w:noProof/>
        </w:rPr>
        <w:tab/>
      </w:r>
      <w:hyperlink w:anchor="_BA_Cite_A63FF9_000146" w:tooltip="Long: Lawrence County v. Lead-Deadwood School Dist., 469 U.S. 25…" w:history="1">
        <w:r>
          <w:rPr>
            <w:noProof/>
          </w:rPr>
          <w:t>58</w:t>
        </w:r>
      </w:hyperlink>
      <w:r>
        <w:rPr>
          <w:noProof/>
        </w:rPr>
        <w:t xml:space="preserve">, </w:t>
      </w:r>
      <w:hyperlink w:anchor="_BA_Cite_A63FF9_000469" w:tooltip="Lawrence County, 469 U.S. at 269–70" w:history="1">
        <w:r>
          <w:rPr>
            <w:noProof/>
          </w:rPr>
          <w:t>59</w:t>
        </w:r>
      </w:hyperlink>
    </w:p>
    <w:p w14:paraId="7E6A28DF" w14:textId="77777777" w:rsidR="00020F15" w:rsidRDefault="00020F15" w:rsidP="00020F15">
      <w:pPr>
        <w:pStyle w:val="BATOAEntry"/>
        <w:rPr>
          <w:noProof/>
        </w:rPr>
      </w:pPr>
      <w:bookmarkStart w:id="42" w:name="_BA_Auth_001032"/>
      <w:r>
        <w:rPr>
          <w:i/>
          <w:iCs/>
          <w:noProof/>
        </w:rPr>
        <w:t>Lujan v. Defenders of Wildlife</w:t>
      </w:r>
      <w:r>
        <w:rPr>
          <w:noProof/>
        </w:rPr>
        <w:t>,</w:t>
      </w:r>
      <w:r>
        <w:rPr>
          <w:noProof/>
        </w:rPr>
        <w:br/>
        <w:t>504 U.S. 555 (1992)</w:t>
      </w:r>
      <w:bookmarkEnd w:id="42"/>
      <w:r>
        <w:rPr>
          <w:noProof/>
        </w:rPr>
        <w:tab/>
      </w:r>
      <w:hyperlink w:anchor="_BA_Cite_A63FF9_001033" w:tooltip="Long: Lujan, 504 U.S. at 562" w:history="1">
        <w:r>
          <w:rPr>
            <w:noProof/>
          </w:rPr>
          <w:t>39</w:t>
        </w:r>
      </w:hyperlink>
      <w:r>
        <w:rPr>
          <w:noProof/>
        </w:rPr>
        <w:t xml:space="preserve">, </w:t>
      </w:r>
      <w:hyperlink w:anchor="_BA_Cite_A63FF9_000620" w:tooltip="504 U.S. at 561" w:history="1">
        <w:r>
          <w:rPr>
            <w:noProof/>
          </w:rPr>
          <w:t>42</w:t>
        </w:r>
      </w:hyperlink>
    </w:p>
    <w:p w14:paraId="49AEF829" w14:textId="77777777" w:rsidR="00020F15" w:rsidRPr="002B509F" w:rsidRDefault="00020F15" w:rsidP="00020F15">
      <w:pPr>
        <w:pStyle w:val="BATOAEntry"/>
        <w:rPr>
          <w:noProof/>
          <w:lang w:val="es-ES"/>
        </w:rPr>
      </w:pPr>
      <w:bookmarkStart w:id="43" w:name="_BA_Auth_000038"/>
      <w:r w:rsidRPr="002B509F">
        <w:rPr>
          <w:i/>
          <w:iCs/>
          <w:noProof/>
          <w:lang w:val="es-ES"/>
        </w:rPr>
        <w:t>Mi Familia Vota v. Abbott</w:t>
      </w:r>
      <w:r w:rsidRPr="002B509F">
        <w:rPr>
          <w:noProof/>
          <w:lang w:val="es-ES"/>
        </w:rPr>
        <w:t>,</w:t>
      </w:r>
      <w:r w:rsidRPr="002B509F">
        <w:rPr>
          <w:noProof/>
          <w:lang w:val="es-ES"/>
        </w:rPr>
        <w:br/>
        <w:t>977 F.3d 461 (5th Cir. 2020)</w:t>
      </w:r>
      <w:bookmarkEnd w:id="43"/>
      <w:r w:rsidRPr="002B509F">
        <w:rPr>
          <w:noProof/>
          <w:lang w:val="es-ES"/>
        </w:rPr>
        <w:tab/>
      </w:r>
      <w:hyperlink w:anchor="_BA_Cite_A63FF9_000039" w:tooltip="Long: Mi Familia Vota v. Abbott, 977 F.3d 461, 467–69 (5th Cir. …" w:history="1">
        <w:r w:rsidRPr="002B509F">
          <w:rPr>
            <w:noProof/>
            <w:lang w:val="es-ES"/>
          </w:rPr>
          <w:t>31</w:t>
        </w:r>
      </w:hyperlink>
    </w:p>
    <w:p w14:paraId="58730E31" w14:textId="77777777" w:rsidR="00020F15" w:rsidRDefault="00020F15" w:rsidP="00020F15">
      <w:pPr>
        <w:pStyle w:val="BATOAEntry"/>
        <w:rPr>
          <w:noProof/>
        </w:rPr>
      </w:pPr>
      <w:bookmarkStart w:id="44" w:name="_BA_Auth_000014"/>
      <w:r>
        <w:rPr>
          <w:i/>
          <w:iCs/>
          <w:noProof/>
        </w:rPr>
        <w:t>Miller v. Tex. Tech Univ. Health Sci. Ctr.</w:t>
      </w:r>
      <w:r>
        <w:rPr>
          <w:noProof/>
        </w:rPr>
        <w:t>,</w:t>
      </w:r>
      <w:r>
        <w:rPr>
          <w:noProof/>
        </w:rPr>
        <w:br/>
        <w:t>421 F.3d 342 (5th Cir. 2005)</w:t>
      </w:r>
      <w:bookmarkEnd w:id="44"/>
      <w:r>
        <w:rPr>
          <w:noProof/>
        </w:rPr>
        <w:tab/>
      </w:r>
      <w:hyperlink w:anchor="_BA_Cite_A63FF9_000015" w:tooltip="Long: Miller v. Tex. Tech Univ. Health Sci. Ctr., 421 F.3d 342, …" w:history="1">
        <w:r>
          <w:rPr>
            <w:noProof/>
          </w:rPr>
          <w:t>23</w:t>
        </w:r>
      </w:hyperlink>
    </w:p>
    <w:p w14:paraId="50F44AB6" w14:textId="77777777" w:rsidR="00020F15" w:rsidRDefault="00020F15" w:rsidP="00020F15">
      <w:pPr>
        <w:pStyle w:val="BATOAEntry"/>
        <w:rPr>
          <w:noProof/>
        </w:rPr>
      </w:pPr>
      <w:bookmarkStart w:id="45" w:name="_BA_Auth_000167"/>
      <w:r>
        <w:rPr>
          <w:i/>
          <w:iCs/>
          <w:noProof/>
        </w:rPr>
        <w:t>Mitchell v. Pidcock</w:t>
      </w:r>
      <w:r>
        <w:rPr>
          <w:noProof/>
        </w:rPr>
        <w:t>,</w:t>
      </w:r>
      <w:r>
        <w:rPr>
          <w:noProof/>
        </w:rPr>
        <w:br/>
        <w:t>299 F.2d 281 (5th Cir. 1962)</w:t>
      </w:r>
      <w:bookmarkEnd w:id="45"/>
      <w:r>
        <w:rPr>
          <w:noProof/>
        </w:rPr>
        <w:tab/>
      </w:r>
      <w:hyperlink w:anchor="_BA_Cite_A63FF9_000168" w:tooltip="Long: Mitchell v. Pidcock, 299 F.2d 281, 287 (5th Cir. 1962)" w:history="1">
        <w:r>
          <w:rPr>
            <w:noProof/>
          </w:rPr>
          <w:t>63</w:t>
        </w:r>
      </w:hyperlink>
    </w:p>
    <w:p w14:paraId="46E30AF3" w14:textId="77777777" w:rsidR="00020F15" w:rsidRDefault="00020F15" w:rsidP="00020F15">
      <w:pPr>
        <w:pStyle w:val="BATOAEntry"/>
        <w:rPr>
          <w:noProof/>
        </w:rPr>
      </w:pPr>
      <w:bookmarkStart w:id="46" w:name="_BA_Auth_000062"/>
      <w:r>
        <w:rPr>
          <w:i/>
          <w:iCs/>
          <w:noProof/>
        </w:rPr>
        <w:t>Monsanto Co. v. Geertson Seed Farms</w:t>
      </w:r>
      <w:r>
        <w:rPr>
          <w:noProof/>
        </w:rPr>
        <w:t>,</w:t>
      </w:r>
      <w:r>
        <w:rPr>
          <w:noProof/>
        </w:rPr>
        <w:br/>
        <w:t>561 U.S. 139 (2010)</w:t>
      </w:r>
      <w:bookmarkEnd w:id="46"/>
      <w:r>
        <w:rPr>
          <w:noProof/>
        </w:rPr>
        <w:tab/>
      </w:r>
      <w:hyperlink w:anchor="_BA_Cite_A63FF9_000063" w:tooltip="Long: Monsanto Co. v. Geertson Seed Farms, 561 U.S. 139, 149 (20…" w:history="1">
        <w:r>
          <w:rPr>
            <w:noProof/>
          </w:rPr>
          <w:t>33</w:t>
        </w:r>
      </w:hyperlink>
    </w:p>
    <w:p w14:paraId="0F27D629" w14:textId="77777777" w:rsidR="00020F15" w:rsidRDefault="00020F15" w:rsidP="00020F15">
      <w:pPr>
        <w:pStyle w:val="BATOAEntry"/>
        <w:rPr>
          <w:noProof/>
        </w:rPr>
      </w:pPr>
      <w:bookmarkStart w:id="47" w:name="_BA_Auth_000040"/>
      <w:r>
        <w:rPr>
          <w:i/>
          <w:iCs/>
          <w:noProof/>
        </w:rPr>
        <w:t>Morris v. Livingston</w:t>
      </w:r>
      <w:r>
        <w:rPr>
          <w:noProof/>
        </w:rPr>
        <w:t>,</w:t>
      </w:r>
      <w:r>
        <w:rPr>
          <w:noProof/>
        </w:rPr>
        <w:br/>
        <w:t>739 F.3d 740 (5th Cir. 2014)</w:t>
      </w:r>
      <w:bookmarkEnd w:id="47"/>
      <w:r>
        <w:rPr>
          <w:noProof/>
        </w:rPr>
        <w:tab/>
      </w:r>
      <w:hyperlink w:anchor="_BA_Cite_A63FF9_000041" w:tooltip="Long: Morris v. Livingston, 739 F.3d 740, 745–46 (5th Cir. 2014)" w:history="1">
        <w:r>
          <w:rPr>
            <w:noProof/>
          </w:rPr>
          <w:t>31</w:t>
        </w:r>
      </w:hyperlink>
    </w:p>
    <w:p w14:paraId="064F9A1F" w14:textId="77777777" w:rsidR="00020F15" w:rsidRPr="002B509F" w:rsidRDefault="00020F15" w:rsidP="00020F15">
      <w:pPr>
        <w:pStyle w:val="BATOAEntry"/>
        <w:rPr>
          <w:noProof/>
          <w:lang w:val="es-ES"/>
        </w:rPr>
      </w:pPr>
      <w:bookmarkStart w:id="48" w:name="_BA_Auth_000131"/>
      <w:r w:rsidRPr="002B509F">
        <w:rPr>
          <w:i/>
          <w:iCs/>
          <w:noProof/>
          <w:lang w:val="es-ES"/>
        </w:rPr>
        <w:t>Muller v. Costello</w:t>
      </w:r>
      <w:r w:rsidRPr="002B509F">
        <w:rPr>
          <w:noProof/>
          <w:lang w:val="es-ES"/>
        </w:rPr>
        <w:t>,</w:t>
      </w:r>
      <w:r w:rsidRPr="002B509F">
        <w:rPr>
          <w:noProof/>
          <w:lang w:val="es-ES"/>
        </w:rPr>
        <w:br/>
        <w:t>No. 94-CV-842 (FJS), 1996 WL 191977 (N.D.N.Y. Apr. 16, 1996)</w:t>
      </w:r>
      <w:bookmarkEnd w:id="48"/>
      <w:r w:rsidRPr="002B509F">
        <w:rPr>
          <w:noProof/>
          <w:lang w:val="es-ES"/>
        </w:rPr>
        <w:tab/>
      </w:r>
      <w:hyperlink w:anchor="_BA_Cite_A63FF9_000132" w:tooltip="Long: Muller v. Costello, No. 94-CV-842 (FJS), 1996 WL 191977, a…" w:history="1">
        <w:r w:rsidRPr="002B509F">
          <w:rPr>
            <w:noProof/>
            <w:lang w:val="es-ES"/>
          </w:rPr>
          <w:t>53</w:t>
        </w:r>
      </w:hyperlink>
    </w:p>
    <w:p w14:paraId="36D845B8" w14:textId="77777777" w:rsidR="00020F15" w:rsidRDefault="00020F15" w:rsidP="00020F15">
      <w:pPr>
        <w:pStyle w:val="BATOAEntry"/>
        <w:rPr>
          <w:noProof/>
        </w:rPr>
      </w:pPr>
      <w:bookmarkStart w:id="49" w:name="_BA_Auth_000115"/>
      <w:r>
        <w:rPr>
          <w:i/>
          <w:iCs/>
          <w:noProof/>
        </w:rPr>
        <w:t>Nawrot v. CPC Int’l</w:t>
      </w:r>
      <w:r>
        <w:rPr>
          <w:noProof/>
        </w:rPr>
        <w:t>,</w:t>
      </w:r>
      <w:r>
        <w:rPr>
          <w:noProof/>
        </w:rPr>
        <w:br/>
        <w:t>259 F. Supp. 2d 716 (N.D. Ill. 2003)</w:t>
      </w:r>
      <w:bookmarkEnd w:id="49"/>
      <w:r>
        <w:rPr>
          <w:noProof/>
        </w:rPr>
        <w:tab/>
      </w:r>
      <w:hyperlink w:anchor="_BA_Cite_A63FF9_000116" w:tooltip="Long: Nawrot v. CPC Int’l, 259 F. Supp. 2d 716, 726 (N.D. Ill. 2…" w:history="1">
        <w:r>
          <w:rPr>
            <w:noProof/>
          </w:rPr>
          <w:t>51</w:t>
        </w:r>
      </w:hyperlink>
    </w:p>
    <w:p w14:paraId="21F76F00" w14:textId="77777777" w:rsidR="00020F15" w:rsidRDefault="00020F15" w:rsidP="00020F15">
      <w:pPr>
        <w:pStyle w:val="BATOAEntry"/>
        <w:rPr>
          <w:noProof/>
        </w:rPr>
      </w:pPr>
      <w:bookmarkStart w:id="50" w:name="_BA_Auth_001004"/>
      <w:r>
        <w:rPr>
          <w:i/>
          <w:iCs/>
          <w:noProof/>
        </w:rPr>
        <w:t>NiGen Biotech, L.L.C. v. Paxton</w:t>
      </w:r>
      <w:r>
        <w:rPr>
          <w:noProof/>
        </w:rPr>
        <w:t>,</w:t>
      </w:r>
      <w:r>
        <w:rPr>
          <w:noProof/>
        </w:rPr>
        <w:br/>
        <w:t>804 F.3d 389 (5th Cir. 2015)</w:t>
      </w:r>
      <w:bookmarkEnd w:id="50"/>
      <w:r>
        <w:rPr>
          <w:noProof/>
        </w:rPr>
        <w:tab/>
      </w:r>
      <w:hyperlink w:anchor="_BA_Cite_A63FF9_001005" w:tooltip="Long: NiGen Biotech, L.L.C. v. Paxton, 804 F.3d 389 (5th Cir. 20…" w:history="1">
        <w:r>
          <w:rPr>
            <w:noProof/>
          </w:rPr>
          <w:t>30</w:t>
        </w:r>
      </w:hyperlink>
      <w:r>
        <w:rPr>
          <w:noProof/>
        </w:rPr>
        <w:t xml:space="preserve">, </w:t>
      </w:r>
      <w:hyperlink w:anchor="_BA_Cite_A63FF9_001030" w:tooltip="NiGen Biotech, 804 F.3d at 392–93 " w:history="1">
        <w:r>
          <w:rPr>
            <w:noProof/>
          </w:rPr>
          <w:t>31</w:t>
        </w:r>
      </w:hyperlink>
    </w:p>
    <w:p w14:paraId="2C6A0D98" w14:textId="77777777" w:rsidR="00020F15" w:rsidRDefault="00020F15" w:rsidP="00020F15">
      <w:pPr>
        <w:pStyle w:val="BATOAEntry"/>
        <w:rPr>
          <w:noProof/>
        </w:rPr>
      </w:pPr>
      <w:bookmarkStart w:id="51" w:name="_BA_Auth_000042"/>
      <w:r>
        <w:rPr>
          <w:i/>
          <w:iCs/>
          <w:noProof/>
        </w:rPr>
        <w:t>Okpalobi v. Foster</w:t>
      </w:r>
      <w:r>
        <w:rPr>
          <w:noProof/>
        </w:rPr>
        <w:t>,</w:t>
      </w:r>
      <w:r>
        <w:rPr>
          <w:noProof/>
        </w:rPr>
        <w:br/>
        <w:t>244 F.3d 405 (5th Cir. 2001)</w:t>
      </w:r>
      <w:bookmarkEnd w:id="51"/>
      <w:r>
        <w:rPr>
          <w:noProof/>
        </w:rPr>
        <w:tab/>
      </w:r>
      <w:hyperlink w:anchor="_BA_Cite_A63FF9_000043" w:tooltip="Long: Okpalobi v. Foster, 244 F.3d 405, 414–16 (5th Cir. 2001)" w:history="1">
        <w:r>
          <w:rPr>
            <w:noProof/>
          </w:rPr>
          <w:t>31</w:t>
        </w:r>
      </w:hyperlink>
    </w:p>
    <w:p w14:paraId="7B985BB4" w14:textId="77777777" w:rsidR="00020F15" w:rsidRDefault="00020F15" w:rsidP="00020F15">
      <w:pPr>
        <w:pStyle w:val="BATOAEntry"/>
        <w:rPr>
          <w:noProof/>
        </w:rPr>
      </w:pPr>
      <w:bookmarkStart w:id="52" w:name="_BA_Auth_000141"/>
      <w:r>
        <w:rPr>
          <w:i/>
          <w:iCs/>
          <w:noProof/>
        </w:rPr>
        <w:t>Pac. Gas &amp; Elec. Co. v. State Energy Res. Conserv. &amp; Dev. Comm’n</w:t>
      </w:r>
      <w:r>
        <w:rPr>
          <w:noProof/>
        </w:rPr>
        <w:t>,</w:t>
      </w:r>
      <w:r>
        <w:rPr>
          <w:noProof/>
        </w:rPr>
        <w:br/>
        <w:t>461 U.S. 190 (1983)</w:t>
      </w:r>
      <w:bookmarkEnd w:id="52"/>
      <w:r>
        <w:rPr>
          <w:noProof/>
        </w:rPr>
        <w:tab/>
      </w:r>
      <w:hyperlink w:anchor="_BA_Cite_A63FF9_000142" w:tooltip="Long: Pac. Gas &amp; Elec. Co. v. State Energy Res. Conserv. &amp; Dev. …" w:history="1">
        <w:r>
          <w:rPr>
            <w:noProof/>
          </w:rPr>
          <w:t>55</w:t>
        </w:r>
      </w:hyperlink>
      <w:r>
        <w:rPr>
          <w:noProof/>
        </w:rPr>
        <w:t xml:space="preserve">, </w:t>
      </w:r>
      <w:hyperlink w:anchor="_BA_Cite_A63FF9_000144" w:tooltip="Pac. Gas &amp; Elec. Co., 461 U.S. at 204" w:history="1">
        <w:r>
          <w:rPr>
            <w:noProof/>
          </w:rPr>
          <w:t>58</w:t>
        </w:r>
      </w:hyperlink>
      <w:r>
        <w:rPr>
          <w:noProof/>
        </w:rPr>
        <w:t xml:space="preserve">, </w:t>
      </w:r>
      <w:hyperlink w:anchor="_BA_Cite_A63FF9_000148" w:tooltip="Pac. Gas &amp; Elec. Co., 461 U.S. at 204" w:history="1">
        <w:r>
          <w:rPr>
            <w:noProof/>
          </w:rPr>
          <w:t>59</w:t>
        </w:r>
      </w:hyperlink>
    </w:p>
    <w:p w14:paraId="1F030047" w14:textId="77777777" w:rsidR="00020F15" w:rsidRDefault="00020F15" w:rsidP="00020F15">
      <w:pPr>
        <w:pStyle w:val="BATOAEntry"/>
        <w:rPr>
          <w:noProof/>
        </w:rPr>
      </w:pPr>
      <w:bookmarkStart w:id="53" w:name="_BA_Auth_000010"/>
      <w:r>
        <w:rPr>
          <w:i/>
          <w:iCs/>
          <w:noProof/>
        </w:rPr>
        <w:t>Pace v. Bogalusa City Sch. Bd</w:t>
      </w:r>
      <w:r>
        <w:rPr>
          <w:noProof/>
        </w:rPr>
        <w:t>.,</w:t>
      </w:r>
      <w:r>
        <w:rPr>
          <w:noProof/>
        </w:rPr>
        <w:br/>
        <w:t>403 F.3d 272 (5th Cir. 2005) (en banc)</w:t>
      </w:r>
      <w:bookmarkEnd w:id="53"/>
      <w:r>
        <w:rPr>
          <w:noProof/>
        </w:rPr>
        <w:tab/>
      </w:r>
      <w:hyperlink w:anchor="_BA_Cite_A63FF9_000011" w:tooltip="Long: Pace v. Bogalusa City Sch. Bd., 403 F.3d 272, 287 (5th Cir…" w:history="1">
        <w:r>
          <w:rPr>
            <w:noProof/>
          </w:rPr>
          <w:t>23</w:t>
        </w:r>
      </w:hyperlink>
      <w:r>
        <w:rPr>
          <w:noProof/>
        </w:rPr>
        <w:t xml:space="preserve">, </w:t>
      </w:r>
      <w:hyperlink w:anchor="_BA_Cite_A63FF9_000073" w:tooltip="Pace v. Bogalusa City Sch. Bd., 403 F.3d 272, 291 (5th Cir. 2005…" w:history="1">
        <w:r>
          <w:rPr>
            <w:noProof/>
          </w:rPr>
          <w:t>35</w:t>
        </w:r>
      </w:hyperlink>
    </w:p>
    <w:p w14:paraId="512E6F3F" w14:textId="77777777" w:rsidR="00020F15" w:rsidRDefault="00020F15" w:rsidP="00020F15">
      <w:pPr>
        <w:pStyle w:val="BATOAEntry"/>
        <w:rPr>
          <w:noProof/>
        </w:rPr>
      </w:pPr>
      <w:bookmarkStart w:id="54" w:name="_BA_Auth_000121"/>
      <w:r>
        <w:rPr>
          <w:i/>
          <w:iCs/>
          <w:noProof/>
        </w:rPr>
        <w:t>PGA Tour, Inc. v. Martin</w:t>
      </w:r>
      <w:r>
        <w:rPr>
          <w:noProof/>
        </w:rPr>
        <w:t>,</w:t>
      </w:r>
      <w:r>
        <w:rPr>
          <w:noProof/>
        </w:rPr>
        <w:br/>
        <w:t>532 U.S. 661 (2001)</w:t>
      </w:r>
      <w:bookmarkEnd w:id="54"/>
      <w:r>
        <w:rPr>
          <w:noProof/>
        </w:rPr>
        <w:tab/>
      </w:r>
      <w:hyperlink w:anchor="_BA_Cite_A63FF9_000122" w:tooltip="Long: PGA Tour, Inc. v. Martin, 532 U.S. 661, 688 (2001)" w:history="1">
        <w:r>
          <w:rPr>
            <w:noProof/>
          </w:rPr>
          <w:t>51</w:t>
        </w:r>
      </w:hyperlink>
    </w:p>
    <w:p w14:paraId="7D6E9A5A" w14:textId="77777777" w:rsidR="00020F15" w:rsidRDefault="00020F15" w:rsidP="00020F15">
      <w:pPr>
        <w:pStyle w:val="BATOAEntry"/>
        <w:rPr>
          <w:noProof/>
        </w:rPr>
      </w:pPr>
      <w:bookmarkStart w:id="55" w:name="_BA_Auth_000070"/>
      <w:r>
        <w:rPr>
          <w:i/>
          <w:iCs/>
          <w:noProof/>
        </w:rPr>
        <w:t>Plyler v. Doe</w:t>
      </w:r>
      <w:r>
        <w:rPr>
          <w:noProof/>
        </w:rPr>
        <w:t>,</w:t>
      </w:r>
      <w:r>
        <w:rPr>
          <w:noProof/>
        </w:rPr>
        <w:br/>
        <w:t>457 U.S. 202 (1982)</w:t>
      </w:r>
      <w:bookmarkEnd w:id="55"/>
      <w:r>
        <w:rPr>
          <w:noProof/>
        </w:rPr>
        <w:tab/>
      </w:r>
      <w:hyperlink w:anchor="_BA_Cite_A63FF9_000071" w:tooltip="Long: Plyler v. Doe, 457 U.S. 202, 230–31 (1982)" w:history="1">
        <w:r>
          <w:rPr>
            <w:noProof/>
          </w:rPr>
          <w:t>34</w:t>
        </w:r>
      </w:hyperlink>
    </w:p>
    <w:p w14:paraId="17246011" w14:textId="77777777" w:rsidR="00020F15" w:rsidRDefault="00020F15" w:rsidP="00020F15">
      <w:pPr>
        <w:pStyle w:val="BATOAEntry"/>
        <w:rPr>
          <w:noProof/>
        </w:rPr>
      </w:pPr>
      <w:bookmarkStart w:id="56" w:name="_BA_Auth_000008"/>
      <w:r>
        <w:rPr>
          <w:i/>
          <w:iCs/>
          <w:noProof/>
        </w:rPr>
        <w:t>Progreso Indep. Sch. Dist. v. Morath</w:t>
      </w:r>
      <w:r>
        <w:rPr>
          <w:noProof/>
        </w:rPr>
        <w:t>,</w:t>
      </w:r>
      <w:r>
        <w:rPr>
          <w:noProof/>
        </w:rPr>
        <w:br/>
        <w:t>No. 18-0455, 2019 WL 1048819 (Tex. Feb. 27, 2019)</w:t>
      </w:r>
      <w:bookmarkEnd w:id="56"/>
      <w:r>
        <w:rPr>
          <w:noProof/>
        </w:rPr>
        <w:tab/>
      </w:r>
      <w:hyperlink w:anchor="_BA_Cite_A63FF9_000009" w:tooltip="Long: Progreso Indep. Sch. Dist. v. Morath, No. 18-0455, 2019 WL…" w:history="1">
        <w:r>
          <w:rPr>
            <w:noProof/>
          </w:rPr>
          <w:t>22</w:t>
        </w:r>
      </w:hyperlink>
    </w:p>
    <w:p w14:paraId="698618E8" w14:textId="135ABD92" w:rsidR="00020F15" w:rsidRDefault="00020F15" w:rsidP="00020F15">
      <w:pPr>
        <w:pStyle w:val="BATOAEntry"/>
        <w:rPr>
          <w:noProof/>
        </w:rPr>
      </w:pPr>
      <w:bookmarkStart w:id="57" w:name="_BA_Auth_001006"/>
      <w:r>
        <w:rPr>
          <w:i/>
          <w:iCs/>
          <w:noProof/>
        </w:rPr>
        <w:t>R.K. v. Lee</w:t>
      </w:r>
      <w:r>
        <w:rPr>
          <w:noProof/>
        </w:rPr>
        <w:t>,</w:t>
      </w:r>
      <w:r>
        <w:rPr>
          <w:noProof/>
        </w:rPr>
        <w:br/>
        <w:t xml:space="preserve">No. 3:21-cv-725, </w:t>
      </w:r>
      <w:r w:rsidR="006B51A0" w:rsidRPr="00B80A44">
        <w:rPr>
          <w:rFonts w:asciiTheme="minorHAnsi" w:hAnsiTheme="minorHAnsi" w:cstheme="minorHAnsi"/>
          <w:iCs/>
          <w:szCs w:val="24"/>
        </w:rPr>
        <w:t>2021 WL 4391640</w:t>
      </w:r>
      <w:r>
        <w:rPr>
          <w:noProof/>
        </w:rPr>
        <w:t xml:space="preserve"> (M.D. Tenn. Sept. 24, 2021)</w:t>
      </w:r>
      <w:bookmarkEnd w:id="57"/>
      <w:r>
        <w:rPr>
          <w:noProof/>
        </w:rPr>
        <w:tab/>
      </w:r>
      <w:hyperlink w:anchor="_BA_Cite_A63FF9_001007" w:tooltip="Long: R.K. v. Lee, No. 3:21-cv-725, ___ WL ___ (M.D. Tenn. Sept.…" w:history="1">
        <w:r>
          <w:rPr>
            <w:noProof/>
          </w:rPr>
          <w:t>45</w:t>
        </w:r>
      </w:hyperlink>
      <w:r>
        <w:rPr>
          <w:noProof/>
        </w:rPr>
        <w:t xml:space="preserve">, </w:t>
      </w:r>
      <w:hyperlink w:anchor="_BA_Cite_A63FF9_000104" w:tooltip="R.K. v. Lee, No. 3:21-cv-725, ___" w:history="1">
        <w:r>
          <w:rPr>
            <w:noProof/>
          </w:rPr>
          <w:t>50</w:t>
        </w:r>
      </w:hyperlink>
      <w:r>
        <w:rPr>
          <w:noProof/>
        </w:rPr>
        <w:t xml:space="preserve">, </w:t>
      </w:r>
      <w:hyperlink w:anchor="_BA_Cite_A63FF9_000519" w:tooltip="R.K." w:history="1">
        <w:r>
          <w:rPr>
            <w:noProof/>
          </w:rPr>
          <w:t>55</w:t>
        </w:r>
      </w:hyperlink>
    </w:p>
    <w:p w14:paraId="587666FA" w14:textId="77777777" w:rsidR="00020F15" w:rsidRDefault="00020F15" w:rsidP="00020F15">
      <w:pPr>
        <w:pStyle w:val="BATOAEntry"/>
        <w:rPr>
          <w:noProof/>
        </w:rPr>
      </w:pPr>
      <w:bookmarkStart w:id="58" w:name="_BA_Auth_000090"/>
      <w:r>
        <w:rPr>
          <w:i/>
          <w:iCs/>
          <w:noProof/>
        </w:rPr>
        <w:t>S.B. by &amp; through M.B. v. Lee</w:t>
      </w:r>
      <w:r>
        <w:rPr>
          <w:noProof/>
        </w:rPr>
        <w:t>,</w:t>
      </w:r>
      <w:r>
        <w:rPr>
          <w:noProof/>
        </w:rPr>
        <w:br/>
        <w:t>No. 321CV00317JRGDCP, ___ F. Supp. 3d ___, 2021 WL 4346232 (E.D. Tenn. Sept. 24, 2021)</w:t>
      </w:r>
      <w:bookmarkEnd w:id="58"/>
      <w:r>
        <w:rPr>
          <w:noProof/>
        </w:rPr>
        <w:tab/>
      </w:r>
      <w:hyperlink w:anchor="_BA_Cite_A63FF9_000083" w:tooltip="S.B. by &amp; through M.B. v. Lee, No. 321CV00317JRGDCP" w:history="1">
        <w:r>
          <w:rPr>
            <w:i/>
            <w:iCs/>
            <w:noProof/>
          </w:rPr>
          <w:t>passim</w:t>
        </w:r>
      </w:hyperlink>
    </w:p>
    <w:p w14:paraId="515977D6" w14:textId="77777777" w:rsidR="00020F15" w:rsidRDefault="00020F15" w:rsidP="00020F15">
      <w:pPr>
        <w:pStyle w:val="BATOAEntry"/>
        <w:rPr>
          <w:noProof/>
        </w:rPr>
      </w:pPr>
      <w:bookmarkStart w:id="59" w:name="_BA_Auth_000153"/>
      <w:r>
        <w:rPr>
          <w:i/>
          <w:iCs/>
          <w:noProof/>
        </w:rPr>
        <w:t>Shaw v. Delta Air Lines, Inc.</w:t>
      </w:r>
      <w:r>
        <w:rPr>
          <w:noProof/>
        </w:rPr>
        <w:t>,</w:t>
      </w:r>
      <w:r>
        <w:rPr>
          <w:noProof/>
        </w:rPr>
        <w:br/>
        <w:t>463 U.S. 85 (1983)</w:t>
      </w:r>
      <w:bookmarkEnd w:id="59"/>
      <w:r>
        <w:rPr>
          <w:noProof/>
        </w:rPr>
        <w:tab/>
      </w:r>
      <w:hyperlink w:anchor="_BA_Cite_A63FF9_000154" w:tooltip="Long: &quot;  Shaw v. Delta Air Lines, Inc., 463 U.S. 85, 96, n. 14 (…" w:history="1">
        <w:r>
          <w:rPr>
            <w:noProof/>
          </w:rPr>
          <w:t>60</w:t>
        </w:r>
      </w:hyperlink>
    </w:p>
    <w:p w14:paraId="70571F9C" w14:textId="77777777" w:rsidR="00020F15" w:rsidRDefault="00020F15" w:rsidP="00020F15">
      <w:pPr>
        <w:pStyle w:val="BATOAEntry"/>
        <w:rPr>
          <w:noProof/>
        </w:rPr>
      </w:pPr>
      <w:bookmarkStart w:id="60" w:name="_BA_Auth_000163"/>
      <w:r>
        <w:rPr>
          <w:i/>
          <w:iCs/>
          <w:noProof/>
        </w:rPr>
        <w:t>Silver Sage Partners, Ltd. v. City of Desert Hot Springs</w:t>
      </w:r>
      <w:r>
        <w:rPr>
          <w:noProof/>
        </w:rPr>
        <w:t>,</w:t>
      </w:r>
      <w:r>
        <w:rPr>
          <w:noProof/>
        </w:rPr>
        <w:br/>
        <w:t>251 F.3d 814 (9th Cir. 2001)</w:t>
      </w:r>
      <w:bookmarkEnd w:id="60"/>
      <w:r>
        <w:rPr>
          <w:noProof/>
        </w:rPr>
        <w:tab/>
      </w:r>
      <w:hyperlink w:anchor="_BA_Cite_A63FF9_000164" w:tooltip="Long: Silver Sage Partners, Ltd. v. City of Desert Hot Springs, …" w:history="1">
        <w:r>
          <w:rPr>
            <w:noProof/>
          </w:rPr>
          <w:t>62</w:t>
        </w:r>
      </w:hyperlink>
    </w:p>
    <w:p w14:paraId="59649FD4" w14:textId="77777777" w:rsidR="00020F15" w:rsidRDefault="00020F15" w:rsidP="00020F15">
      <w:pPr>
        <w:pStyle w:val="BATOAEntry"/>
        <w:rPr>
          <w:noProof/>
        </w:rPr>
      </w:pPr>
      <w:bookmarkStart w:id="61" w:name="_BA_Auth_000125"/>
      <w:r>
        <w:rPr>
          <w:i/>
          <w:iCs/>
          <w:noProof/>
        </w:rPr>
        <w:t>Simmons v. Monroe Cty., Mississippi</w:t>
      </w:r>
      <w:r>
        <w:rPr>
          <w:noProof/>
        </w:rPr>
        <w:t>,</w:t>
      </w:r>
      <w:r>
        <w:rPr>
          <w:noProof/>
        </w:rPr>
        <w:br/>
        <w:t>415 F. Supp. 3d 723 (N.D. Miss. 2019)</w:t>
      </w:r>
      <w:bookmarkEnd w:id="61"/>
      <w:r>
        <w:rPr>
          <w:noProof/>
        </w:rPr>
        <w:tab/>
      </w:r>
      <w:hyperlink w:anchor="_BA_Cite_A63FF9_000126" w:tooltip="Long: Simmons v. Monroe Cty., Mississippi, 415 F. Supp. 3d 723, …" w:history="1">
        <w:r>
          <w:rPr>
            <w:noProof/>
          </w:rPr>
          <w:t>52</w:t>
        </w:r>
      </w:hyperlink>
    </w:p>
    <w:p w14:paraId="0454611C" w14:textId="77777777" w:rsidR="00020F15" w:rsidRDefault="00020F15" w:rsidP="00020F15">
      <w:pPr>
        <w:pStyle w:val="BATOAEntry"/>
        <w:rPr>
          <w:noProof/>
        </w:rPr>
      </w:pPr>
      <w:bookmarkStart w:id="62" w:name="_BA_Auth_000052"/>
      <w:r>
        <w:rPr>
          <w:i/>
          <w:iCs/>
          <w:noProof/>
        </w:rPr>
        <w:t>Spokeo, Inc. v. Robins</w:t>
      </w:r>
      <w:r>
        <w:rPr>
          <w:noProof/>
        </w:rPr>
        <w:t>,</w:t>
      </w:r>
      <w:r>
        <w:rPr>
          <w:noProof/>
        </w:rPr>
        <w:br/>
        <w:t>578 U.S. 330 (2016)</w:t>
      </w:r>
      <w:bookmarkEnd w:id="62"/>
      <w:r>
        <w:rPr>
          <w:noProof/>
        </w:rPr>
        <w:tab/>
      </w:r>
      <w:hyperlink w:anchor="_BA_Cite_A63FF9_000053" w:tooltip="Long: Spokeo, Inc. v. Robins, 578 U.S. 330, 338, (2016)" w:history="1">
        <w:r>
          <w:rPr>
            <w:noProof/>
          </w:rPr>
          <w:t>33</w:t>
        </w:r>
      </w:hyperlink>
    </w:p>
    <w:p w14:paraId="341E2186" w14:textId="77777777" w:rsidR="00020F15" w:rsidRPr="002B509F" w:rsidRDefault="00020F15" w:rsidP="00020F15">
      <w:pPr>
        <w:pStyle w:val="BATOAEntry"/>
        <w:rPr>
          <w:noProof/>
          <w:lang w:val="es-ES"/>
        </w:rPr>
      </w:pPr>
      <w:bookmarkStart w:id="63" w:name="_BA_Auth_000119"/>
      <w:r w:rsidRPr="002B509F">
        <w:rPr>
          <w:i/>
          <w:iCs/>
          <w:noProof/>
          <w:lang w:val="es-ES"/>
        </w:rPr>
        <w:t>Staron v. McDonald’s Corp</w:t>
      </w:r>
      <w:r w:rsidRPr="002B509F">
        <w:rPr>
          <w:noProof/>
          <w:lang w:val="es-ES"/>
        </w:rPr>
        <w:t>.,</w:t>
      </w:r>
      <w:r w:rsidRPr="002B509F">
        <w:rPr>
          <w:noProof/>
          <w:lang w:val="es-ES"/>
        </w:rPr>
        <w:br/>
        <w:t>51 F.3d 353 (2nd Cir. 1995)</w:t>
      </w:r>
      <w:bookmarkEnd w:id="63"/>
      <w:r w:rsidRPr="002B509F">
        <w:rPr>
          <w:noProof/>
          <w:lang w:val="es-ES"/>
        </w:rPr>
        <w:tab/>
      </w:r>
      <w:hyperlink w:anchor="_BA_Cite_A63FF9_000120" w:tooltip="Long: Staron v. McDonald’s Corp., 51 F.3d 353, 356 (2nd Cir. 199…" w:history="1">
        <w:r w:rsidRPr="002B509F">
          <w:rPr>
            <w:noProof/>
            <w:lang w:val="es-ES"/>
          </w:rPr>
          <w:t>51</w:t>
        </w:r>
      </w:hyperlink>
      <w:r w:rsidRPr="002B509F">
        <w:rPr>
          <w:noProof/>
          <w:lang w:val="es-ES"/>
        </w:rPr>
        <w:t xml:space="preserve">, </w:t>
      </w:r>
      <w:hyperlink w:anchor="_BA_Cite_A63FF9_000124" w:tooltip="Staron v. McDonald’s Corp., 51 F.3d 353, 357 (2d Cir. 1995)" w:history="1">
        <w:r w:rsidRPr="002B509F">
          <w:rPr>
            <w:noProof/>
            <w:lang w:val="es-ES"/>
          </w:rPr>
          <w:t>52</w:t>
        </w:r>
      </w:hyperlink>
      <w:r w:rsidRPr="002B509F">
        <w:rPr>
          <w:noProof/>
          <w:lang w:val="es-ES"/>
        </w:rPr>
        <w:t xml:space="preserve">, </w:t>
      </w:r>
      <w:hyperlink w:anchor="_BA_Cite_A63FF9_000517" w:tooltip="Staron" w:history="1">
        <w:r w:rsidRPr="002B509F">
          <w:rPr>
            <w:noProof/>
            <w:lang w:val="es-ES"/>
          </w:rPr>
          <w:t>53</w:t>
        </w:r>
      </w:hyperlink>
    </w:p>
    <w:p w14:paraId="02F8EDEC" w14:textId="77777777" w:rsidR="00020F15" w:rsidRDefault="00020F15" w:rsidP="00020F15">
      <w:pPr>
        <w:pStyle w:val="BATOAEntry"/>
        <w:rPr>
          <w:noProof/>
        </w:rPr>
      </w:pPr>
      <w:bookmarkStart w:id="64" w:name="_BA_Auth_000113"/>
      <w:r>
        <w:rPr>
          <w:i/>
          <w:iCs/>
          <w:noProof/>
        </w:rPr>
        <w:t>Sturz v. Wisconsin Dept. of Corrections</w:t>
      </w:r>
      <w:r>
        <w:rPr>
          <w:noProof/>
        </w:rPr>
        <w:t>,</w:t>
      </w:r>
      <w:r>
        <w:rPr>
          <w:noProof/>
        </w:rPr>
        <w:br/>
        <w:t>642 F. Supp. 2d 881 (W.D. Wis. 2009)</w:t>
      </w:r>
      <w:bookmarkEnd w:id="64"/>
      <w:r>
        <w:rPr>
          <w:noProof/>
        </w:rPr>
        <w:tab/>
      </w:r>
      <w:hyperlink w:anchor="_BA_Cite_A63FF9_000114" w:tooltip="Long: Sturz v. Wisconsin Dept. of Corrections, 642 F. Supp. 2d 8…" w:history="1">
        <w:r>
          <w:rPr>
            <w:noProof/>
          </w:rPr>
          <w:t>50</w:t>
        </w:r>
      </w:hyperlink>
    </w:p>
    <w:p w14:paraId="22CC1ADA" w14:textId="77777777" w:rsidR="00020F15" w:rsidRDefault="00020F15" w:rsidP="00020F15">
      <w:pPr>
        <w:pStyle w:val="BATOAEntry"/>
        <w:rPr>
          <w:noProof/>
        </w:rPr>
      </w:pPr>
      <w:bookmarkStart w:id="65" w:name="_BA_Auth_000056"/>
      <w:r>
        <w:rPr>
          <w:i/>
          <w:iCs/>
          <w:noProof/>
        </w:rPr>
        <w:t>Susan B. Anthony List v. Driehaus</w:t>
      </w:r>
      <w:r>
        <w:rPr>
          <w:noProof/>
        </w:rPr>
        <w:t>,</w:t>
      </w:r>
      <w:r>
        <w:rPr>
          <w:noProof/>
        </w:rPr>
        <w:br/>
        <w:t>573 U.S. 149 (2014)</w:t>
      </w:r>
      <w:bookmarkEnd w:id="65"/>
      <w:r>
        <w:rPr>
          <w:noProof/>
        </w:rPr>
        <w:tab/>
      </w:r>
      <w:hyperlink w:anchor="_BA_Cite_A63FF9_000057" w:tooltip="Long: Susan B. Anthony List v. Driehaus, 573 U.S. 149, 158 (2014…" w:history="1">
        <w:r>
          <w:rPr>
            <w:noProof/>
          </w:rPr>
          <w:t>33</w:t>
        </w:r>
      </w:hyperlink>
      <w:r>
        <w:rPr>
          <w:noProof/>
        </w:rPr>
        <w:t xml:space="preserve">, </w:t>
      </w:r>
      <w:hyperlink w:anchor="_BA_Cite_A63FF9_000456" w:tooltip="Driehaus, 573 U.S. at 158" w:history="1">
        <w:r>
          <w:rPr>
            <w:noProof/>
          </w:rPr>
          <w:t>38</w:t>
        </w:r>
      </w:hyperlink>
      <w:r>
        <w:rPr>
          <w:noProof/>
        </w:rPr>
        <w:t xml:space="preserve">, </w:t>
      </w:r>
      <w:hyperlink w:anchor="_BA_Cite_A63FF9_000458" w:tooltip="Driehaus, 573 U.S. at 158" w:history="1">
        <w:r>
          <w:rPr>
            <w:noProof/>
          </w:rPr>
          <w:t>39</w:t>
        </w:r>
      </w:hyperlink>
    </w:p>
    <w:p w14:paraId="0B2EE5CF" w14:textId="77777777" w:rsidR="00020F15" w:rsidRDefault="00020F15" w:rsidP="00020F15">
      <w:pPr>
        <w:pStyle w:val="BATOAEntry"/>
        <w:rPr>
          <w:noProof/>
        </w:rPr>
      </w:pPr>
      <w:bookmarkStart w:id="66" w:name="_BA_Auth_000026"/>
      <w:r>
        <w:rPr>
          <w:i/>
          <w:iCs/>
          <w:noProof/>
        </w:rPr>
        <w:t>Tennessee v. Lane</w:t>
      </w:r>
      <w:r>
        <w:rPr>
          <w:noProof/>
        </w:rPr>
        <w:t>,</w:t>
      </w:r>
      <w:r>
        <w:rPr>
          <w:noProof/>
        </w:rPr>
        <w:br/>
        <w:t>541 U.S. 509 (2004)</w:t>
      </w:r>
      <w:bookmarkEnd w:id="66"/>
      <w:r>
        <w:rPr>
          <w:noProof/>
        </w:rPr>
        <w:tab/>
      </w:r>
      <w:hyperlink w:anchor="_BA_Cite_A63FF9_000027" w:tooltip="Long: Tennessee v. Lane, 541 U.S. 509, 533–34 (2004)" w:history="1">
        <w:r>
          <w:rPr>
            <w:noProof/>
          </w:rPr>
          <w:t>24</w:t>
        </w:r>
      </w:hyperlink>
    </w:p>
    <w:p w14:paraId="2132DAB1" w14:textId="77777777" w:rsidR="00020F15" w:rsidRDefault="00020F15" w:rsidP="00020F15">
      <w:pPr>
        <w:pStyle w:val="BATOAEntry"/>
        <w:rPr>
          <w:noProof/>
        </w:rPr>
      </w:pPr>
      <w:bookmarkStart w:id="67" w:name="_BA_Auth_000046"/>
      <w:r>
        <w:rPr>
          <w:i/>
          <w:iCs/>
          <w:noProof/>
        </w:rPr>
        <w:t>Tex. Democratic Party v. Abbott</w:t>
      </w:r>
      <w:r>
        <w:rPr>
          <w:noProof/>
        </w:rPr>
        <w:t>,</w:t>
      </w:r>
      <w:r>
        <w:rPr>
          <w:noProof/>
        </w:rPr>
        <w:br/>
        <w:t>978 F.3d 168 (5th Cir. 2020)</w:t>
      </w:r>
      <w:bookmarkEnd w:id="67"/>
      <w:r>
        <w:rPr>
          <w:noProof/>
        </w:rPr>
        <w:tab/>
      </w:r>
      <w:hyperlink w:anchor="_BA_Cite_A63FF9_000047" w:tooltip="Long: Tex. Democratic Party v. Abbott, 978 F.3d 168, 180 (5th Ci…" w:history="1">
        <w:r>
          <w:rPr>
            <w:noProof/>
          </w:rPr>
          <w:t>31</w:t>
        </w:r>
      </w:hyperlink>
    </w:p>
    <w:p w14:paraId="36FC7D63" w14:textId="77777777" w:rsidR="00020F15" w:rsidRDefault="00020F15" w:rsidP="00020F15">
      <w:pPr>
        <w:pStyle w:val="BATOAEntry"/>
        <w:rPr>
          <w:noProof/>
        </w:rPr>
      </w:pPr>
      <w:bookmarkStart w:id="68" w:name="_BA_Auth_000044"/>
      <w:r>
        <w:rPr>
          <w:i/>
          <w:iCs/>
          <w:noProof/>
        </w:rPr>
        <w:t>Tex. Democratic Party v. Hughes</w:t>
      </w:r>
      <w:r>
        <w:rPr>
          <w:noProof/>
        </w:rPr>
        <w:t>,</w:t>
      </w:r>
      <w:r>
        <w:rPr>
          <w:noProof/>
        </w:rPr>
        <w:br/>
        <w:t>2021 WL 2310010 (5th Cir. June 4, 2021)</w:t>
      </w:r>
      <w:bookmarkEnd w:id="68"/>
      <w:r>
        <w:rPr>
          <w:noProof/>
        </w:rPr>
        <w:tab/>
      </w:r>
      <w:hyperlink w:anchor="_BA_Cite_A63FF9_000045" w:tooltip="Long: Tex. Democratic Party v. Hughes, 2021 WL 2310010, at *3 (5…" w:history="1">
        <w:r>
          <w:rPr>
            <w:noProof/>
          </w:rPr>
          <w:t>31</w:t>
        </w:r>
      </w:hyperlink>
    </w:p>
    <w:p w14:paraId="0F630494" w14:textId="77777777" w:rsidR="00020F15" w:rsidRDefault="00020F15" w:rsidP="00020F15">
      <w:pPr>
        <w:pStyle w:val="BATOAEntry"/>
        <w:rPr>
          <w:noProof/>
        </w:rPr>
      </w:pPr>
      <w:bookmarkStart w:id="69" w:name="_BA_Auth_000080"/>
      <w:r>
        <w:rPr>
          <w:i/>
          <w:iCs/>
          <w:noProof/>
        </w:rPr>
        <w:t>Three Expo Events, L.L.C. v. City of Dallas, Texas</w:t>
      </w:r>
      <w:r>
        <w:rPr>
          <w:noProof/>
        </w:rPr>
        <w:t>,</w:t>
      </w:r>
      <w:r>
        <w:rPr>
          <w:noProof/>
        </w:rPr>
        <w:br/>
        <w:t>907 F.3d 333 (5th Cir. 2018)</w:t>
      </w:r>
      <w:bookmarkEnd w:id="69"/>
      <w:r>
        <w:rPr>
          <w:noProof/>
        </w:rPr>
        <w:tab/>
      </w:r>
      <w:hyperlink w:anchor="_BA_Cite_A63FF9_000081" w:tooltip="Long: Three Expo Events, L.L.C. v. City of Dallas, Texas, 907 F.…" w:history="1">
        <w:r>
          <w:rPr>
            <w:noProof/>
          </w:rPr>
          <w:t>39</w:t>
        </w:r>
      </w:hyperlink>
    </w:p>
    <w:p w14:paraId="64B34B6D" w14:textId="77777777" w:rsidR="00020F15" w:rsidRDefault="00020F15" w:rsidP="00020F15">
      <w:pPr>
        <w:pStyle w:val="BATOAEntry"/>
        <w:rPr>
          <w:noProof/>
        </w:rPr>
      </w:pPr>
      <w:bookmarkStart w:id="70" w:name="_BA_Auth_000127"/>
      <w:r>
        <w:rPr>
          <w:i/>
          <w:iCs/>
          <w:noProof/>
        </w:rPr>
        <w:t>Thursby v. City of Scranton</w:t>
      </w:r>
      <w:r>
        <w:rPr>
          <w:noProof/>
        </w:rPr>
        <w:t>,</w:t>
      </w:r>
      <w:r>
        <w:rPr>
          <w:noProof/>
        </w:rPr>
        <w:br/>
        <w:t>No. 3:CV-02-2355, 2006 WL 1455736 (M.D. Pa. May 25, 2006)</w:t>
      </w:r>
      <w:bookmarkEnd w:id="70"/>
      <w:r>
        <w:rPr>
          <w:noProof/>
        </w:rPr>
        <w:tab/>
      </w:r>
      <w:hyperlink w:anchor="_BA_Cite_A63FF9_000128" w:tooltip="Long: Thursby v. City of Scranton, No. 3:CV-02-2355, 2006 WL 145…" w:history="1">
        <w:r>
          <w:rPr>
            <w:noProof/>
          </w:rPr>
          <w:t>52</w:t>
        </w:r>
      </w:hyperlink>
    </w:p>
    <w:p w14:paraId="4D616E23" w14:textId="77777777" w:rsidR="00020F15" w:rsidRDefault="00020F15" w:rsidP="00020F15">
      <w:pPr>
        <w:pStyle w:val="BATOAEntry"/>
        <w:rPr>
          <w:noProof/>
        </w:rPr>
      </w:pPr>
      <w:bookmarkStart w:id="71" w:name="_BA_Auth_000022"/>
      <w:r>
        <w:rPr>
          <w:i/>
          <w:iCs/>
          <w:noProof/>
        </w:rPr>
        <w:t>Toledo v. Sanchez</w:t>
      </w:r>
      <w:r>
        <w:rPr>
          <w:noProof/>
        </w:rPr>
        <w:t>,</w:t>
      </w:r>
      <w:r>
        <w:rPr>
          <w:noProof/>
        </w:rPr>
        <w:br/>
        <w:t>454 F.3d 24 (1st Cir. 2006)</w:t>
      </w:r>
      <w:bookmarkEnd w:id="71"/>
      <w:r>
        <w:rPr>
          <w:noProof/>
        </w:rPr>
        <w:tab/>
      </w:r>
      <w:hyperlink w:anchor="_BA_Cite_A63FF9_000023" w:tooltip="Long: Toledo v. Sanchez, 454 F.3d 24, 40 (1st Cir. 2006)" w:history="1">
        <w:r>
          <w:rPr>
            <w:noProof/>
          </w:rPr>
          <w:t>24</w:t>
        </w:r>
      </w:hyperlink>
    </w:p>
    <w:p w14:paraId="2DCB10E1" w14:textId="77777777" w:rsidR="00020F15" w:rsidRDefault="00020F15" w:rsidP="00020F15">
      <w:pPr>
        <w:pStyle w:val="BATOAEntry"/>
        <w:rPr>
          <w:noProof/>
        </w:rPr>
      </w:pPr>
      <w:bookmarkStart w:id="72" w:name="_BA_Auth_000111"/>
      <w:r>
        <w:rPr>
          <w:i/>
          <w:iCs/>
          <w:noProof/>
        </w:rPr>
        <w:t>U.S. E.E.O.C. v. AutoZone, Inc</w:t>
      </w:r>
      <w:r>
        <w:rPr>
          <w:noProof/>
        </w:rPr>
        <w:t>.,</w:t>
      </w:r>
      <w:r>
        <w:rPr>
          <w:noProof/>
        </w:rPr>
        <w:br/>
        <w:t xml:space="preserve">822 F. Supp. 2d 824 (C.D. Ill. 2011), </w:t>
      </w:r>
      <w:r>
        <w:rPr>
          <w:i/>
          <w:iCs/>
          <w:noProof/>
        </w:rPr>
        <w:t>aff’d in relevant part sub nom. E.E.O.C. v. AutoZone, Inc</w:t>
      </w:r>
      <w:r>
        <w:rPr>
          <w:noProof/>
        </w:rPr>
        <w:t>., 707 F.3d 824 (7th Cir. 2013)</w:t>
      </w:r>
      <w:bookmarkEnd w:id="72"/>
      <w:r>
        <w:rPr>
          <w:noProof/>
        </w:rPr>
        <w:tab/>
      </w:r>
      <w:hyperlink w:anchor="_BA_Cite_A63FF9_000112" w:tooltip="Long: U.S. E.E.O.C. v. AutoZone, Inc., 822 F. Supp. 2d 824, 830 …" w:history="1">
        <w:r>
          <w:rPr>
            <w:noProof/>
          </w:rPr>
          <w:t>50</w:t>
        </w:r>
      </w:hyperlink>
    </w:p>
    <w:p w14:paraId="62534B3F" w14:textId="77777777" w:rsidR="00020F15" w:rsidRDefault="00020F15" w:rsidP="00020F15">
      <w:pPr>
        <w:pStyle w:val="BATOAEntry"/>
        <w:rPr>
          <w:noProof/>
        </w:rPr>
      </w:pPr>
      <w:bookmarkStart w:id="73" w:name="_BA_Auth_000054"/>
      <w:r>
        <w:rPr>
          <w:i/>
          <w:iCs/>
          <w:noProof/>
        </w:rPr>
        <w:t>Uzuegbunam v. Preczewski</w:t>
      </w:r>
      <w:r>
        <w:rPr>
          <w:noProof/>
        </w:rPr>
        <w:t>,</w:t>
      </w:r>
      <w:r>
        <w:rPr>
          <w:noProof/>
        </w:rPr>
        <w:br/>
        <w:t>141 S. Ct. 792 (2021)</w:t>
      </w:r>
      <w:bookmarkEnd w:id="73"/>
      <w:r>
        <w:rPr>
          <w:noProof/>
        </w:rPr>
        <w:tab/>
      </w:r>
      <w:hyperlink w:anchor="_BA_Cite_A63FF9_000055" w:tooltip="Long: Uzuegbunam v. Preczewski, 141 S. Ct. 792, 797 (2021)" w:history="1">
        <w:r>
          <w:rPr>
            <w:noProof/>
          </w:rPr>
          <w:t>33</w:t>
        </w:r>
      </w:hyperlink>
      <w:r>
        <w:rPr>
          <w:noProof/>
        </w:rPr>
        <w:t xml:space="preserve">, </w:t>
      </w:r>
      <w:hyperlink w:anchor="_BA_Cite_A63FF9_000508" w:tooltip="Uzuegbunam v. Preczewski" w:history="1">
        <w:r>
          <w:rPr>
            <w:noProof/>
          </w:rPr>
          <w:t>42</w:t>
        </w:r>
      </w:hyperlink>
      <w:r>
        <w:rPr>
          <w:noProof/>
        </w:rPr>
        <w:t xml:space="preserve">, </w:t>
      </w:r>
      <w:hyperlink w:anchor="_BA_Cite_A63FF9_000510" w:tooltip="Uzuegbunam" w:history="1">
        <w:r>
          <w:rPr>
            <w:noProof/>
          </w:rPr>
          <w:t>43</w:t>
        </w:r>
      </w:hyperlink>
    </w:p>
    <w:p w14:paraId="307AA2FA" w14:textId="77777777" w:rsidR="00020F15" w:rsidRDefault="00020F15" w:rsidP="00020F15">
      <w:pPr>
        <w:pStyle w:val="BATOAEntry"/>
        <w:rPr>
          <w:noProof/>
        </w:rPr>
      </w:pPr>
      <w:bookmarkStart w:id="74" w:name="_BA_Auth_000030"/>
      <w:r>
        <w:rPr>
          <w:i/>
          <w:iCs/>
          <w:noProof/>
        </w:rPr>
        <w:t>Va. Office for Prot. &amp; Advocacy v. Stewart</w:t>
      </w:r>
      <w:r>
        <w:rPr>
          <w:noProof/>
        </w:rPr>
        <w:t>,</w:t>
      </w:r>
      <w:r>
        <w:rPr>
          <w:noProof/>
        </w:rPr>
        <w:br/>
        <w:t>563 U.S. 247 (2011)</w:t>
      </w:r>
      <w:bookmarkEnd w:id="74"/>
      <w:r>
        <w:rPr>
          <w:noProof/>
        </w:rPr>
        <w:tab/>
      </w:r>
      <w:hyperlink w:anchor="_BA_Cite_A63FF9_000031" w:tooltip="Long: Va. Office for Prot. &amp; Advocacy v. Stewart, 563 U.S. 247, …" w:history="1">
        <w:r>
          <w:rPr>
            <w:noProof/>
          </w:rPr>
          <w:t>25</w:t>
        </w:r>
      </w:hyperlink>
      <w:r>
        <w:rPr>
          <w:noProof/>
        </w:rPr>
        <w:t xml:space="preserve">, </w:t>
      </w:r>
      <w:hyperlink w:anchor="_BA_Cite_A63FF9_000033" w:tooltip="Va. Office for Prot. &amp; Advocacy v. Stewart, 563 U.S. 247, 254–55…" w:history="1">
        <w:r>
          <w:rPr>
            <w:noProof/>
          </w:rPr>
          <w:t>29</w:t>
        </w:r>
      </w:hyperlink>
      <w:r>
        <w:rPr>
          <w:noProof/>
        </w:rPr>
        <w:t xml:space="preserve">, </w:t>
      </w:r>
      <w:hyperlink w:anchor="_BA_Cite_A63FF9_000452" w:tooltip="Stewart, 563 U.S. at 254–55" w:history="1">
        <w:r>
          <w:rPr>
            <w:noProof/>
          </w:rPr>
          <w:t>33</w:t>
        </w:r>
      </w:hyperlink>
    </w:p>
    <w:p w14:paraId="6BCB2AA8" w14:textId="77777777" w:rsidR="00020F15" w:rsidRDefault="00020F15" w:rsidP="00020F15">
      <w:pPr>
        <w:pStyle w:val="BATOAEntry"/>
        <w:rPr>
          <w:noProof/>
        </w:rPr>
      </w:pPr>
      <w:bookmarkStart w:id="75" w:name="_BA_Auth_000155"/>
      <w:r>
        <w:rPr>
          <w:i/>
          <w:iCs/>
          <w:noProof/>
        </w:rPr>
        <w:t>Verizon Md., Inc. v. Public Serv. Comm’n of Md.</w:t>
      </w:r>
      <w:r>
        <w:rPr>
          <w:noProof/>
        </w:rPr>
        <w:t>,</w:t>
      </w:r>
      <w:r>
        <w:rPr>
          <w:noProof/>
        </w:rPr>
        <w:br/>
        <w:t>535 U.S. 635 (2002)</w:t>
      </w:r>
      <w:bookmarkEnd w:id="75"/>
      <w:r>
        <w:rPr>
          <w:noProof/>
        </w:rPr>
        <w:tab/>
      </w:r>
      <w:hyperlink w:anchor="_BA_Cite_A63FF9_000156" w:tooltip="Long: Verizon Md., Inc. v. Public Serv. Comm’n of Md., 535 U.S. …" w:history="1">
        <w:r>
          <w:rPr>
            <w:noProof/>
          </w:rPr>
          <w:t>60</w:t>
        </w:r>
      </w:hyperlink>
    </w:p>
    <w:p w14:paraId="6C306710" w14:textId="77777777" w:rsidR="00020F15" w:rsidRDefault="00020F15" w:rsidP="00020F15">
      <w:pPr>
        <w:pStyle w:val="BATOAEntry"/>
        <w:rPr>
          <w:noProof/>
        </w:rPr>
      </w:pPr>
      <w:bookmarkStart w:id="76" w:name="_BA_Auth_000058"/>
      <w:r>
        <w:rPr>
          <w:i/>
          <w:iCs/>
          <w:noProof/>
        </w:rPr>
        <w:t>Warth v. Seldin</w:t>
      </w:r>
      <w:r>
        <w:rPr>
          <w:noProof/>
        </w:rPr>
        <w:t>,</w:t>
      </w:r>
      <w:r>
        <w:rPr>
          <w:noProof/>
        </w:rPr>
        <w:br/>
        <w:t>422 U.S. 490 (1975)</w:t>
      </w:r>
      <w:bookmarkEnd w:id="76"/>
      <w:r>
        <w:rPr>
          <w:noProof/>
        </w:rPr>
        <w:tab/>
      </w:r>
      <w:hyperlink w:anchor="_BA_Cite_A63FF9_000059" w:tooltip="Long: Warth v. Seldin, 422 U.S. 490, 498 (1975)" w:history="1">
        <w:r>
          <w:rPr>
            <w:noProof/>
          </w:rPr>
          <w:t>33</w:t>
        </w:r>
      </w:hyperlink>
      <w:r>
        <w:rPr>
          <w:noProof/>
        </w:rPr>
        <w:t xml:space="preserve">, </w:t>
      </w:r>
      <w:hyperlink w:anchor="_BA_Cite_A63FF9_000079" w:tooltip="Warth v. Seldin, 422 U.S. 490, 498 (1975)" w:history="1">
        <w:r>
          <w:rPr>
            <w:noProof/>
          </w:rPr>
          <w:t>39</w:t>
        </w:r>
      </w:hyperlink>
    </w:p>
    <w:p w14:paraId="17EED0B8" w14:textId="77777777" w:rsidR="00020F15" w:rsidRDefault="00020F15" w:rsidP="00020F15">
      <w:pPr>
        <w:pStyle w:val="BATOAEntry"/>
        <w:rPr>
          <w:noProof/>
        </w:rPr>
      </w:pPr>
      <w:bookmarkStart w:id="77" w:name="_BA_Auth_000607"/>
      <w:r>
        <w:rPr>
          <w:i/>
          <w:iCs/>
          <w:noProof/>
        </w:rPr>
        <w:t>Whole Woman’s Health v. Jackson</w:t>
      </w:r>
      <w:r>
        <w:rPr>
          <w:noProof/>
        </w:rPr>
        <w:t>,</w:t>
      </w:r>
      <w:r>
        <w:rPr>
          <w:noProof/>
        </w:rPr>
        <w:br/>
        <w:t>2021 WL 4128951 (5th Cir. Sept. 10, 2021)</w:t>
      </w:r>
      <w:bookmarkEnd w:id="77"/>
      <w:r>
        <w:rPr>
          <w:noProof/>
        </w:rPr>
        <w:tab/>
      </w:r>
      <w:hyperlink w:anchor="_BA_Cite_A63FF9_000608" w:tooltip="Long: Whole Woman’s Health v. Jackson" w:history="1">
        <w:r>
          <w:rPr>
            <w:noProof/>
          </w:rPr>
          <w:t>32</w:t>
        </w:r>
      </w:hyperlink>
    </w:p>
    <w:p w14:paraId="3FC9D8B8" w14:textId="77777777" w:rsidR="00020F15" w:rsidRDefault="00020F15" w:rsidP="00020F15">
      <w:pPr>
        <w:pStyle w:val="BATOAEntry"/>
        <w:rPr>
          <w:noProof/>
        </w:rPr>
      </w:pPr>
      <w:bookmarkStart w:id="78" w:name="_BA_Auth_000084"/>
      <w:r>
        <w:rPr>
          <w:i/>
          <w:iCs/>
          <w:noProof/>
        </w:rPr>
        <w:t>Wilson v. City of Southlake</w:t>
      </w:r>
      <w:r>
        <w:rPr>
          <w:noProof/>
        </w:rPr>
        <w:t>,</w:t>
      </w:r>
      <w:r>
        <w:rPr>
          <w:noProof/>
        </w:rPr>
        <w:br/>
        <w:t>936 F. 3d 326 (5th Cir. 2019)</w:t>
      </w:r>
      <w:bookmarkEnd w:id="78"/>
      <w:r>
        <w:rPr>
          <w:noProof/>
        </w:rPr>
        <w:tab/>
      </w:r>
      <w:hyperlink w:anchor="_BA_Cite_A63FF9_000085" w:tooltip="Long: Wilson v. City of Southlake, 936 F. 3d 326, 330 (5th Cir. …" w:history="1">
        <w:r>
          <w:rPr>
            <w:noProof/>
          </w:rPr>
          <w:t>44</w:t>
        </w:r>
      </w:hyperlink>
      <w:r>
        <w:rPr>
          <w:noProof/>
        </w:rPr>
        <w:t xml:space="preserve">, </w:t>
      </w:r>
      <w:hyperlink w:anchor="_BA_Cite_A63FF9_000464" w:tooltip="Wilson, 936 F. 3d at 330" w:history="1">
        <w:r>
          <w:rPr>
            <w:noProof/>
          </w:rPr>
          <w:t>46</w:t>
        </w:r>
      </w:hyperlink>
      <w:r>
        <w:rPr>
          <w:noProof/>
        </w:rPr>
        <w:t xml:space="preserve">, </w:t>
      </w:r>
      <w:hyperlink w:anchor="_BA_Cite_A63FF9_000465" w:tooltip="Wilson, 936 F. 3d at 330" w:history="1">
        <w:r>
          <w:rPr>
            <w:noProof/>
          </w:rPr>
          <w:t>48</w:t>
        </w:r>
      </w:hyperlink>
    </w:p>
    <w:p w14:paraId="3D8BD553" w14:textId="77777777" w:rsidR="00020F15" w:rsidRDefault="00020F15" w:rsidP="00020F15">
      <w:pPr>
        <w:pStyle w:val="BATOAEntry"/>
        <w:rPr>
          <w:noProof/>
        </w:rPr>
      </w:pPr>
      <w:bookmarkStart w:id="79" w:name="_BA_Auth_000028"/>
      <w:r>
        <w:rPr>
          <w:i/>
          <w:iCs/>
          <w:noProof/>
        </w:rPr>
        <w:t>Ex parte Young</w:t>
      </w:r>
      <w:r>
        <w:rPr>
          <w:noProof/>
        </w:rPr>
        <w:t>,</w:t>
      </w:r>
      <w:r>
        <w:rPr>
          <w:noProof/>
        </w:rPr>
        <w:br/>
        <w:t>209 U.S. 123 (1907)</w:t>
      </w:r>
      <w:bookmarkEnd w:id="79"/>
      <w:r>
        <w:rPr>
          <w:noProof/>
        </w:rPr>
        <w:tab/>
      </w:r>
      <w:hyperlink w:anchor="_BA_Cite_A63FF9_000478" w:tooltip="Ex parte Young" w:history="1">
        <w:r>
          <w:rPr>
            <w:i/>
            <w:iCs/>
            <w:noProof/>
          </w:rPr>
          <w:t>passim</w:t>
        </w:r>
      </w:hyperlink>
    </w:p>
    <w:p w14:paraId="388399C2" w14:textId="408EF486" w:rsidR="00020F15" w:rsidRDefault="00020F15" w:rsidP="00020F15">
      <w:pPr>
        <w:pStyle w:val="BATOAHeading"/>
        <w:rPr>
          <w:noProof/>
        </w:rPr>
      </w:pPr>
      <w:r>
        <w:rPr>
          <w:noProof/>
        </w:rPr>
        <w:t>Statutes</w:t>
      </w:r>
      <w:r w:rsidR="00BB1355">
        <w:rPr>
          <w:noProof/>
        </w:rPr>
        <w:t xml:space="preserve"> &amp; Regulations</w:t>
      </w:r>
    </w:p>
    <w:p w14:paraId="33C6DD71" w14:textId="77777777" w:rsidR="00BB1355" w:rsidRDefault="00BB1355" w:rsidP="00BB1355">
      <w:pPr>
        <w:pStyle w:val="BATOAEntry"/>
        <w:rPr>
          <w:noProof/>
        </w:rPr>
      </w:pPr>
      <w:bookmarkStart w:id="80" w:name="_BA_Auth_000605"/>
      <w:bookmarkStart w:id="81" w:name="_BA_Auth_000393"/>
      <w:r>
        <w:rPr>
          <w:noProof/>
        </w:rPr>
        <w:t>U.S. Const., amend. XIV</w:t>
      </w:r>
      <w:bookmarkEnd w:id="80"/>
      <w:r>
        <w:rPr>
          <w:noProof/>
        </w:rPr>
        <w:tab/>
      </w:r>
      <w:hyperlink w:anchor="_BA_Cite_A63FF9_000942" w:tooltip="Section 5" w:history="1">
        <w:r>
          <w:rPr>
            <w:noProof/>
          </w:rPr>
          <w:t>24</w:t>
        </w:r>
      </w:hyperlink>
    </w:p>
    <w:p w14:paraId="6F2A0A18" w14:textId="77777777" w:rsidR="00BB1355" w:rsidRDefault="00BB1355" w:rsidP="00BB1355">
      <w:pPr>
        <w:pStyle w:val="BATOAEntry"/>
        <w:rPr>
          <w:noProof/>
        </w:rPr>
      </w:pPr>
      <w:bookmarkStart w:id="82" w:name="_BA_Auth_000985"/>
      <w:r>
        <w:rPr>
          <w:noProof/>
        </w:rPr>
        <w:t>U.S. Const., art. I, sec. 8, cl. 1</w:t>
      </w:r>
      <w:bookmarkEnd w:id="82"/>
      <w:r>
        <w:rPr>
          <w:noProof/>
        </w:rPr>
        <w:tab/>
      </w:r>
      <w:hyperlink w:anchor="_BA_Cite_A63FF9_000986" w:tooltip="Long: Spending Clause" w:history="1">
        <w:r>
          <w:rPr>
            <w:noProof/>
          </w:rPr>
          <w:t>59</w:t>
        </w:r>
      </w:hyperlink>
    </w:p>
    <w:p w14:paraId="3AD236F3" w14:textId="77777777" w:rsidR="00BB1355" w:rsidRDefault="00BB1355" w:rsidP="00BB1355">
      <w:pPr>
        <w:pStyle w:val="BATOAEntry"/>
        <w:rPr>
          <w:noProof/>
        </w:rPr>
      </w:pPr>
      <w:bookmarkStart w:id="83" w:name="_BA_Auth_000411"/>
      <w:r>
        <w:rPr>
          <w:noProof/>
        </w:rPr>
        <w:t>U.S. Const., art. III</w:t>
      </w:r>
      <w:bookmarkEnd w:id="83"/>
      <w:r>
        <w:rPr>
          <w:noProof/>
        </w:rPr>
        <w:tab/>
      </w:r>
      <w:hyperlink w:anchor="_BA_Cite_A63FF9_000412" w:tooltip="Long: Article III of the United States Constitution" w:history="1">
        <w:r>
          <w:rPr>
            <w:noProof/>
          </w:rPr>
          <w:t>33</w:t>
        </w:r>
      </w:hyperlink>
      <w:r>
        <w:rPr>
          <w:noProof/>
        </w:rPr>
        <w:t xml:space="preserve">, </w:t>
      </w:r>
      <w:hyperlink w:anchor="_BA_Cite_A63FF9_000950" w:tooltip="Article III" w:history="1">
        <w:r>
          <w:rPr>
            <w:noProof/>
          </w:rPr>
          <w:t>44</w:t>
        </w:r>
      </w:hyperlink>
    </w:p>
    <w:p w14:paraId="2D92E869" w14:textId="77777777" w:rsidR="00BB1355" w:rsidRDefault="00BB1355" w:rsidP="00BB1355">
      <w:pPr>
        <w:pStyle w:val="BATOAEntry"/>
        <w:rPr>
          <w:noProof/>
        </w:rPr>
      </w:pPr>
      <w:bookmarkStart w:id="84" w:name="_BA_Auth_000409"/>
      <w:r>
        <w:rPr>
          <w:noProof/>
        </w:rPr>
        <w:t>U.S. Const., art. VI, cl. 2</w:t>
      </w:r>
      <w:bookmarkEnd w:id="84"/>
      <w:r>
        <w:rPr>
          <w:noProof/>
        </w:rPr>
        <w:tab/>
      </w:r>
      <w:hyperlink w:anchor="_BA_Cite_A63FF9_000410" w:tooltip="Long: Supremacy Clause of the U.S. Constitution" w:history="1">
        <w:r w:rsidRPr="00BB1355">
          <w:rPr>
            <w:noProof/>
          </w:rPr>
          <w:t>54,</w:t>
        </w:r>
      </w:hyperlink>
      <w:r w:rsidRPr="00BB1355">
        <w:rPr>
          <w:noProof/>
        </w:rPr>
        <w:t xml:space="preserve"> 56</w:t>
      </w:r>
    </w:p>
    <w:p w14:paraId="2BAE81B1" w14:textId="77777777" w:rsidR="00020F15" w:rsidRDefault="00020F15" w:rsidP="00020F15">
      <w:pPr>
        <w:pStyle w:val="BATOAEntry"/>
        <w:rPr>
          <w:noProof/>
        </w:rPr>
      </w:pPr>
      <w:r>
        <w:rPr>
          <w:noProof/>
        </w:rPr>
        <w:t>28 U.S.C. § 1331</w:t>
      </w:r>
      <w:bookmarkEnd w:id="81"/>
      <w:r>
        <w:rPr>
          <w:noProof/>
        </w:rPr>
        <w:tab/>
      </w:r>
      <w:hyperlink w:anchor="_BA_Cite_A63FF9_000394" w:tooltip="Long: 28 U. S. C. § 1331" w:history="1">
        <w:r>
          <w:rPr>
            <w:noProof/>
          </w:rPr>
          <w:t>60</w:t>
        </w:r>
      </w:hyperlink>
    </w:p>
    <w:p w14:paraId="60B23173" w14:textId="77777777" w:rsidR="00020F15" w:rsidRDefault="00020F15" w:rsidP="00020F15">
      <w:pPr>
        <w:pStyle w:val="BATOAEntry"/>
        <w:rPr>
          <w:noProof/>
        </w:rPr>
      </w:pPr>
      <w:bookmarkStart w:id="85" w:name="_BA_Auth_001011"/>
      <w:r>
        <w:rPr>
          <w:noProof/>
        </w:rPr>
        <w:t xml:space="preserve">29 U.S.C. § 701 </w:t>
      </w:r>
      <w:r>
        <w:rPr>
          <w:i/>
          <w:iCs/>
          <w:noProof/>
        </w:rPr>
        <w:t>et seq.</w:t>
      </w:r>
      <w:bookmarkEnd w:id="85"/>
      <w:r>
        <w:rPr>
          <w:noProof/>
        </w:rPr>
        <w:tab/>
      </w:r>
      <w:hyperlink w:anchor="_BA_Cite_A63FF9_000231" w:tooltip="Long: Americans with Disabilities Act, the Rehabilitation Act, a…" w:history="1">
        <w:r>
          <w:rPr>
            <w:i/>
            <w:iCs/>
            <w:noProof/>
          </w:rPr>
          <w:t>passim</w:t>
        </w:r>
      </w:hyperlink>
    </w:p>
    <w:p w14:paraId="2F1FF3ED" w14:textId="77777777" w:rsidR="00020F15" w:rsidRDefault="00020F15" w:rsidP="00020F15">
      <w:pPr>
        <w:pStyle w:val="BATOAEntry"/>
        <w:rPr>
          <w:noProof/>
        </w:rPr>
      </w:pPr>
      <w:bookmarkStart w:id="86" w:name="_BA_Auth_000236"/>
      <w:r>
        <w:rPr>
          <w:noProof/>
        </w:rPr>
        <w:t>29 U.S.C. § 784(a)</w:t>
      </w:r>
      <w:bookmarkEnd w:id="86"/>
      <w:r>
        <w:rPr>
          <w:noProof/>
        </w:rPr>
        <w:tab/>
      </w:r>
      <w:hyperlink w:anchor="_BA_Cite_A63FF9_000237" w:tooltip="Long: Section 504 of the Rehabilitation Act" w:history="1">
        <w:r>
          <w:rPr>
            <w:i/>
            <w:iCs/>
            <w:noProof/>
          </w:rPr>
          <w:t>passim</w:t>
        </w:r>
      </w:hyperlink>
    </w:p>
    <w:p w14:paraId="77DD9B31" w14:textId="77777777" w:rsidR="00020F15" w:rsidRDefault="00020F15" w:rsidP="00020F15">
      <w:pPr>
        <w:pStyle w:val="BATOAEntry"/>
        <w:rPr>
          <w:noProof/>
        </w:rPr>
      </w:pPr>
      <w:bookmarkStart w:id="87" w:name="_BA_Auth_000347"/>
      <w:r>
        <w:rPr>
          <w:noProof/>
        </w:rPr>
        <w:t>42 U.S.C. § 1983</w:t>
      </w:r>
      <w:bookmarkEnd w:id="87"/>
      <w:r>
        <w:rPr>
          <w:noProof/>
        </w:rPr>
        <w:tab/>
      </w:r>
      <w:hyperlink w:anchor="_BA_Cite_A63FF9_000348" w:tooltip="Long: 42 U.S.C. § 1983" w:history="1">
        <w:r>
          <w:rPr>
            <w:noProof/>
          </w:rPr>
          <w:t>49</w:t>
        </w:r>
      </w:hyperlink>
    </w:p>
    <w:p w14:paraId="0B97ADAD" w14:textId="77777777" w:rsidR="00020F15" w:rsidRDefault="00020F15" w:rsidP="00020F15">
      <w:pPr>
        <w:pStyle w:val="BATOAEntry"/>
        <w:rPr>
          <w:noProof/>
        </w:rPr>
      </w:pPr>
      <w:bookmarkStart w:id="88" w:name="_BA_Auth_000268"/>
      <w:r>
        <w:rPr>
          <w:noProof/>
        </w:rPr>
        <w:t>42 U.S.C. § 2000d-7(a)</w:t>
      </w:r>
      <w:bookmarkEnd w:id="88"/>
      <w:r>
        <w:rPr>
          <w:noProof/>
        </w:rPr>
        <w:tab/>
      </w:r>
      <w:hyperlink w:anchor="_BA_Cite_A63FF9_000269" w:tooltip="Long: 42 U.S.C. § 2000d-7(a) (&quot;A State shall not be immune under…" w:history="1">
        <w:r>
          <w:rPr>
            <w:noProof/>
          </w:rPr>
          <w:t>23</w:t>
        </w:r>
      </w:hyperlink>
    </w:p>
    <w:p w14:paraId="54EE7786" w14:textId="77777777" w:rsidR="00020F15" w:rsidRDefault="00020F15" w:rsidP="00020F15">
      <w:pPr>
        <w:pStyle w:val="BATOAEntry"/>
        <w:rPr>
          <w:noProof/>
        </w:rPr>
      </w:pPr>
      <w:bookmarkStart w:id="89" w:name="_BA_Auth_000334"/>
      <w:r>
        <w:rPr>
          <w:noProof/>
        </w:rPr>
        <w:t xml:space="preserve">42 U.S.C. § 12101 </w:t>
      </w:r>
      <w:r>
        <w:rPr>
          <w:i/>
          <w:iCs/>
          <w:noProof/>
        </w:rPr>
        <w:t>et seq</w:t>
      </w:r>
      <w:r>
        <w:rPr>
          <w:noProof/>
        </w:rPr>
        <w:t>.</w:t>
      </w:r>
      <w:bookmarkEnd w:id="89"/>
      <w:r>
        <w:rPr>
          <w:noProof/>
        </w:rPr>
        <w:tab/>
      </w:r>
      <w:hyperlink w:anchor="_BA_Cite_A63FF9_000235" w:tooltip="Americans with Disabilities Act" w:history="1">
        <w:r>
          <w:rPr>
            <w:i/>
            <w:iCs/>
            <w:noProof/>
          </w:rPr>
          <w:t>passim</w:t>
        </w:r>
      </w:hyperlink>
    </w:p>
    <w:p w14:paraId="5B6C39ED" w14:textId="77777777" w:rsidR="00020F15" w:rsidRDefault="00020F15" w:rsidP="00020F15">
      <w:pPr>
        <w:pStyle w:val="BATOAEntry"/>
        <w:rPr>
          <w:noProof/>
        </w:rPr>
      </w:pPr>
      <w:bookmarkStart w:id="90" w:name="_BA_Auth_000377"/>
      <w:r>
        <w:rPr>
          <w:noProof/>
        </w:rPr>
        <w:t>Pub. L. No. 117-2</w:t>
      </w:r>
      <w:bookmarkEnd w:id="90"/>
      <w:r>
        <w:rPr>
          <w:noProof/>
        </w:rPr>
        <w:tab/>
      </w:r>
      <w:hyperlink w:anchor="_BA_Cite_A63FF9_000231" w:tooltip="Americans with Disabilities Act, the Rehabilitation Act, and the…" w:history="1">
        <w:r>
          <w:rPr>
            <w:i/>
            <w:iCs/>
            <w:noProof/>
          </w:rPr>
          <w:t>passim</w:t>
        </w:r>
      </w:hyperlink>
    </w:p>
    <w:p w14:paraId="60166569" w14:textId="77777777" w:rsidR="00BB1355" w:rsidRDefault="00BB1355" w:rsidP="00BB1355">
      <w:pPr>
        <w:pStyle w:val="BATOAEntry"/>
        <w:rPr>
          <w:noProof/>
        </w:rPr>
      </w:pPr>
      <w:bookmarkStart w:id="91" w:name="_BA_Auth_000216"/>
      <w:bookmarkStart w:id="92" w:name="_BA_Auth_000421"/>
      <w:bookmarkStart w:id="93" w:name="_BA_Auth_000254"/>
      <w:r>
        <w:rPr>
          <w:noProof/>
        </w:rPr>
        <w:t>28 C.F.R. § 35.130(b)(1)(i)-(ii), (vii)</w:t>
      </w:r>
      <w:bookmarkEnd w:id="91"/>
      <w:r>
        <w:rPr>
          <w:noProof/>
        </w:rPr>
        <w:tab/>
      </w:r>
      <w:hyperlink w:anchor="_BA_Cite_A63FF9_000217" w:tooltip="Long: 28 C.F.R. § 35.130(b)(1)(i)-(ii), (vii)" w:history="1">
        <w:r>
          <w:rPr>
            <w:noProof/>
          </w:rPr>
          <w:t>46</w:t>
        </w:r>
      </w:hyperlink>
    </w:p>
    <w:p w14:paraId="563D6494" w14:textId="77777777" w:rsidR="00BB1355" w:rsidRDefault="00BB1355" w:rsidP="00BB1355">
      <w:pPr>
        <w:pStyle w:val="BATOAEntry"/>
        <w:rPr>
          <w:noProof/>
        </w:rPr>
      </w:pPr>
      <w:bookmarkStart w:id="94" w:name="_BA_Auth_000224"/>
      <w:r>
        <w:rPr>
          <w:noProof/>
        </w:rPr>
        <w:t>28 C.F.R. § 35.130(b)(7)</w:t>
      </w:r>
      <w:bookmarkEnd w:id="94"/>
      <w:r>
        <w:rPr>
          <w:noProof/>
        </w:rPr>
        <w:tab/>
      </w:r>
      <w:hyperlink w:anchor="_BA_Cite_A63FF9_000225" w:tooltip="Long: 28 C.F.R. § 35.130(b)(7)" w:history="1">
        <w:r>
          <w:rPr>
            <w:noProof/>
          </w:rPr>
          <w:t>51</w:t>
        </w:r>
      </w:hyperlink>
    </w:p>
    <w:p w14:paraId="0C487023" w14:textId="77777777" w:rsidR="00BB1355" w:rsidRDefault="00BB1355" w:rsidP="00BB1355">
      <w:pPr>
        <w:pStyle w:val="BATOAEntry"/>
        <w:rPr>
          <w:noProof/>
        </w:rPr>
      </w:pPr>
      <w:bookmarkStart w:id="95" w:name="_BA_Auth_000218"/>
      <w:r w:rsidRPr="002B509F">
        <w:rPr>
          <w:noProof/>
        </w:rPr>
        <w:t>28 C.F.R. § 35.130(b)(7)(i)</w:t>
      </w:r>
      <w:bookmarkEnd w:id="95"/>
      <w:r>
        <w:rPr>
          <w:noProof/>
        </w:rPr>
        <w:tab/>
      </w:r>
      <w:hyperlink w:anchor="_BA_Cite_A63FF9_000219" w:tooltip="Long: 28 C.F.R. § 35.130(b)(7)(i)" w:history="1">
        <w:r>
          <w:rPr>
            <w:noProof/>
          </w:rPr>
          <w:t>46</w:t>
        </w:r>
      </w:hyperlink>
    </w:p>
    <w:p w14:paraId="5202B78B" w14:textId="77777777" w:rsidR="00BB1355" w:rsidRDefault="00BB1355" w:rsidP="00BB1355">
      <w:pPr>
        <w:pStyle w:val="BATOAEntry"/>
        <w:rPr>
          <w:noProof/>
        </w:rPr>
      </w:pPr>
      <w:bookmarkStart w:id="96" w:name="_BA_Auth_000220"/>
      <w:r>
        <w:rPr>
          <w:noProof/>
        </w:rPr>
        <w:t>28 C.F.R. § 35.150</w:t>
      </w:r>
      <w:bookmarkEnd w:id="96"/>
      <w:r>
        <w:rPr>
          <w:noProof/>
        </w:rPr>
        <w:tab/>
      </w:r>
      <w:hyperlink w:anchor="_BA_Cite_A63FF9_000221" w:tooltip="Long: 28 C.F.R. § 35.150" w:history="1">
        <w:r>
          <w:rPr>
            <w:noProof/>
          </w:rPr>
          <w:t>46</w:t>
        </w:r>
      </w:hyperlink>
    </w:p>
    <w:p w14:paraId="4D483E9D" w14:textId="77777777" w:rsidR="00BB1355" w:rsidRDefault="00BB1355" w:rsidP="00BB1355">
      <w:pPr>
        <w:pStyle w:val="BATOAEntry"/>
        <w:rPr>
          <w:noProof/>
        </w:rPr>
      </w:pPr>
      <w:bookmarkStart w:id="97" w:name="_BA_Auth_000226"/>
      <w:r>
        <w:rPr>
          <w:noProof/>
        </w:rPr>
        <w:t>86 Fed. Reg. 21195, 21196 (Apr. 22, 2021)</w:t>
      </w:r>
      <w:bookmarkEnd w:id="97"/>
      <w:r>
        <w:rPr>
          <w:noProof/>
        </w:rPr>
        <w:tab/>
      </w:r>
      <w:hyperlink w:anchor="_BA_Cite_A63FF9_000227" w:tooltip="Long: 86 Fed. Reg. 21195, 21196 (Apr. 22, 2021)" w:history="1">
        <w:r>
          <w:rPr>
            <w:noProof/>
          </w:rPr>
          <w:t>56</w:t>
        </w:r>
      </w:hyperlink>
    </w:p>
    <w:p w14:paraId="6796F52F" w14:textId="77777777" w:rsidR="00BB1355" w:rsidRDefault="00BB1355" w:rsidP="00BB1355">
      <w:pPr>
        <w:pStyle w:val="BATOAEntry"/>
        <w:rPr>
          <w:noProof/>
        </w:rPr>
      </w:pPr>
      <w:bookmarkStart w:id="98" w:name="_BA_Auth_000228"/>
      <w:r>
        <w:rPr>
          <w:noProof/>
        </w:rPr>
        <w:t>86 Fed. Reg. 21195, 21200</w:t>
      </w:r>
      <w:bookmarkEnd w:id="98"/>
      <w:r>
        <w:rPr>
          <w:noProof/>
        </w:rPr>
        <w:tab/>
      </w:r>
      <w:hyperlink w:anchor="_BA_Cite_A63FF9_000229" w:tooltip="Long: 86 Fed. Reg. 21195, 21200" w:history="1">
        <w:r>
          <w:rPr>
            <w:noProof/>
          </w:rPr>
          <w:t>57</w:t>
        </w:r>
      </w:hyperlink>
    </w:p>
    <w:p w14:paraId="0894FB3F" w14:textId="77777777" w:rsidR="00BB1355" w:rsidRDefault="00BB1355" w:rsidP="00BB1355">
      <w:pPr>
        <w:pStyle w:val="BATOAEntry"/>
        <w:rPr>
          <w:noProof/>
        </w:rPr>
      </w:pPr>
      <w:r>
        <w:rPr>
          <w:noProof/>
        </w:rPr>
        <w:t>Tex. Const., art VII, § 1</w:t>
      </w:r>
      <w:bookmarkEnd w:id="92"/>
      <w:r>
        <w:rPr>
          <w:noProof/>
        </w:rPr>
        <w:tab/>
      </w:r>
      <w:hyperlink w:anchor="_BA_Cite_A63FF9_000422" w:tooltip="Long: Tex. Const. art VII, § 1" w:history="1">
        <w:r>
          <w:rPr>
            <w:noProof/>
          </w:rPr>
          <w:t>34</w:t>
        </w:r>
      </w:hyperlink>
    </w:p>
    <w:p w14:paraId="61DFED5A" w14:textId="77777777" w:rsidR="00020F15" w:rsidRDefault="00020F15" w:rsidP="00020F15">
      <w:pPr>
        <w:pStyle w:val="BATOAEntry"/>
        <w:rPr>
          <w:noProof/>
        </w:rPr>
      </w:pPr>
      <w:r>
        <w:rPr>
          <w:noProof/>
        </w:rPr>
        <w:t>Tex. Educ. Code § 7.021</w:t>
      </w:r>
      <w:bookmarkEnd w:id="93"/>
      <w:r>
        <w:rPr>
          <w:noProof/>
        </w:rPr>
        <w:tab/>
      </w:r>
      <w:hyperlink w:anchor="_BA_Cite_A63FF9_000255" w:tooltip="Long: Tex. Educ. Code § 7.021" w:history="1">
        <w:r>
          <w:rPr>
            <w:noProof/>
          </w:rPr>
          <w:t>22</w:t>
        </w:r>
      </w:hyperlink>
    </w:p>
    <w:p w14:paraId="66A18F9A" w14:textId="77777777" w:rsidR="00020F15" w:rsidRDefault="00020F15" w:rsidP="00020F15">
      <w:pPr>
        <w:pStyle w:val="BATOAEntry"/>
        <w:rPr>
          <w:noProof/>
        </w:rPr>
      </w:pPr>
      <w:bookmarkStart w:id="99" w:name="_BA_Auth_000256"/>
      <w:r>
        <w:rPr>
          <w:noProof/>
        </w:rPr>
        <w:t>Tex. Educ. Code § 7.055</w:t>
      </w:r>
      <w:bookmarkEnd w:id="99"/>
      <w:r>
        <w:rPr>
          <w:noProof/>
        </w:rPr>
        <w:tab/>
      </w:r>
      <w:hyperlink w:anchor="_BA_Cite_A63FF9_000257" w:tooltip="Long: Tex. Educ. Code § 7.055" w:history="1">
        <w:r>
          <w:rPr>
            <w:noProof/>
          </w:rPr>
          <w:t>22</w:t>
        </w:r>
      </w:hyperlink>
    </w:p>
    <w:p w14:paraId="5F0EF517" w14:textId="77777777" w:rsidR="00020F15" w:rsidRDefault="00020F15" w:rsidP="00020F15">
      <w:pPr>
        <w:pStyle w:val="BATOAEntry"/>
        <w:rPr>
          <w:noProof/>
        </w:rPr>
      </w:pPr>
      <w:bookmarkStart w:id="100" w:name="_BA_Auth_001015"/>
      <w:r>
        <w:rPr>
          <w:noProof/>
        </w:rPr>
        <w:t>Tex. Educ. Code § 7.055(b)</w:t>
      </w:r>
      <w:bookmarkEnd w:id="100"/>
      <w:r>
        <w:rPr>
          <w:noProof/>
        </w:rPr>
        <w:tab/>
      </w:r>
      <w:hyperlink w:anchor="_BA_Cite_A63FF9_001016" w:tooltip="Long: Tex. Edu. Code § 7.055(b)" w:history="1">
        <w:r>
          <w:rPr>
            <w:noProof/>
          </w:rPr>
          <w:t>29</w:t>
        </w:r>
      </w:hyperlink>
    </w:p>
    <w:p w14:paraId="2B576947" w14:textId="77777777" w:rsidR="00BB1355" w:rsidRDefault="00BB1355" w:rsidP="00BB1355">
      <w:pPr>
        <w:pStyle w:val="BATOAHeading"/>
        <w:rPr>
          <w:noProof/>
        </w:rPr>
      </w:pPr>
      <w:bookmarkStart w:id="101" w:name="_BA_Auth_001021"/>
      <w:r>
        <w:rPr>
          <w:noProof/>
        </w:rPr>
        <w:t>Other Authorities</w:t>
      </w:r>
    </w:p>
    <w:p w14:paraId="276B9B21" w14:textId="77777777" w:rsidR="00BB1355" w:rsidRDefault="00BB1355" w:rsidP="00BB1355">
      <w:pPr>
        <w:pStyle w:val="BATOAEntry"/>
        <w:rPr>
          <w:noProof/>
        </w:rPr>
      </w:pPr>
      <w:bookmarkStart w:id="102" w:name="_BA_Auth_000169"/>
      <w:r>
        <w:rPr>
          <w:noProof/>
        </w:rPr>
        <w:t>Executive Order GA-38</w:t>
      </w:r>
      <w:bookmarkEnd w:id="102"/>
      <w:r>
        <w:rPr>
          <w:noProof/>
        </w:rPr>
        <w:tab/>
      </w:r>
      <w:hyperlink w:anchor="_BA_Cite_A63FF9_000170" w:tooltip="Long: Governor’s Executive Order GA-38" w:history="1">
        <w:r>
          <w:rPr>
            <w:i/>
            <w:iCs/>
            <w:noProof/>
          </w:rPr>
          <w:t>passim</w:t>
        </w:r>
      </w:hyperlink>
    </w:p>
    <w:p w14:paraId="2A7F0C54" w14:textId="3F37BA7C" w:rsidR="00020F15" w:rsidRDefault="00020F15" w:rsidP="00020F15">
      <w:pPr>
        <w:pStyle w:val="BATOAEntry"/>
        <w:rPr>
          <w:noProof/>
        </w:rPr>
      </w:pPr>
      <w:r>
        <w:rPr>
          <w:noProof/>
        </w:rPr>
        <w:t xml:space="preserve">Allyson Waller, et al., </w:t>
      </w:r>
      <w:r>
        <w:rPr>
          <w:i/>
          <w:iCs/>
          <w:noProof/>
        </w:rPr>
        <w:t>At least 45 districts shut down in-person classes due to COVID-19 cases</w:t>
      </w:r>
      <w:r>
        <w:rPr>
          <w:noProof/>
        </w:rPr>
        <w:t xml:space="preserve">, </w:t>
      </w:r>
      <w:r>
        <w:rPr>
          <w:i/>
          <w:iCs/>
          <w:noProof/>
        </w:rPr>
        <w:t>affecting more than 40,000 students</w:t>
      </w:r>
      <w:r>
        <w:rPr>
          <w:noProof/>
        </w:rPr>
        <w:t xml:space="preserve">, </w:t>
      </w:r>
      <w:r>
        <w:rPr>
          <w:smallCaps/>
          <w:noProof/>
        </w:rPr>
        <w:t>The Texas Tribune</w:t>
      </w:r>
      <w:r>
        <w:rPr>
          <w:noProof/>
        </w:rPr>
        <w:t xml:space="preserve">, September 3, 2021, </w:t>
      </w:r>
      <w:r>
        <w:rPr>
          <w:i/>
          <w:iCs/>
          <w:noProof/>
        </w:rPr>
        <w:t>available at</w:t>
      </w:r>
      <w:r>
        <w:rPr>
          <w:noProof/>
        </w:rPr>
        <w:t xml:space="preserve"> </w:t>
      </w:r>
      <w:r>
        <w:rPr>
          <w:noProof/>
          <w:u w:val="single"/>
        </w:rPr>
        <w:t>https://www.texastribune.org/2021/09/03/texas-covid-school-districts-shut-down/</w:t>
      </w:r>
      <w:r>
        <w:rPr>
          <w:noProof/>
        </w:rPr>
        <w:t xml:space="preserve"> (last accessed on September 25, 2021)</w:t>
      </w:r>
      <w:bookmarkEnd w:id="101"/>
      <w:r>
        <w:rPr>
          <w:noProof/>
        </w:rPr>
        <w:tab/>
      </w:r>
      <w:hyperlink w:anchor="_BA_Cite_A63FF9_001022" w:tooltip="Long: Allyson Waller, et al., At least 45 districts shut down in…" w:history="1">
        <w:r>
          <w:rPr>
            <w:noProof/>
          </w:rPr>
          <w:t>6</w:t>
        </w:r>
      </w:hyperlink>
    </w:p>
    <w:p w14:paraId="76B1D09C" w14:textId="77777777" w:rsidR="00020F15" w:rsidRDefault="00020F15" w:rsidP="00020F15">
      <w:pPr>
        <w:pStyle w:val="BATOAEntry"/>
        <w:rPr>
          <w:noProof/>
        </w:rPr>
      </w:pPr>
      <w:bookmarkStart w:id="103" w:name="_BA_Auth_001023"/>
      <w:r>
        <w:rPr>
          <w:noProof/>
        </w:rPr>
        <w:t xml:space="preserve">U.S. Dep’t of Education, American Rescue Plan Elementary and Secondary School Emergency Relief Fund – Methodology for Calculating Allocations (Revised June 25, 2021) at 3, </w:t>
      </w:r>
      <w:r>
        <w:rPr>
          <w:i/>
          <w:iCs/>
          <w:noProof/>
        </w:rPr>
        <w:t>available at</w:t>
      </w:r>
      <w:r>
        <w:rPr>
          <w:noProof/>
        </w:rPr>
        <w:t xml:space="preserve"> </w:t>
      </w:r>
      <w:r>
        <w:rPr>
          <w:noProof/>
          <w:u w:val="single"/>
        </w:rPr>
        <w:t>https://oese.ed.gov/files/2021/06/Revised-ARP-ESSER-Methodology-and-Allocation-Table_6.25.21_FINAL.pdf</w:t>
      </w:r>
      <w:bookmarkEnd w:id="103"/>
      <w:r>
        <w:rPr>
          <w:noProof/>
        </w:rPr>
        <w:tab/>
      </w:r>
      <w:hyperlink w:anchor="_BA_Cite_A63FF9_001024" w:tooltip="Long: U.S. Dep’t of Education, American Rescue Plan Elementary a…" w:history="1">
        <w:r>
          <w:rPr>
            <w:noProof/>
          </w:rPr>
          <w:t>56</w:t>
        </w:r>
      </w:hyperlink>
    </w:p>
    <w:bookmarkEnd w:id="5"/>
    <w:bookmarkEnd w:id="6"/>
    <w:p w14:paraId="71618643" w14:textId="4568B46C" w:rsidR="00EC4CE6" w:rsidRDefault="00EC4CE6" w:rsidP="003814A3">
      <w:pPr>
        <w:spacing w:line="480" w:lineRule="auto"/>
        <w:rPr>
          <w:rFonts w:asciiTheme="minorHAnsi" w:hAnsiTheme="minorHAnsi" w:cstheme="minorHAnsi"/>
        </w:rPr>
        <w:sectPr w:rsidR="00EC4CE6" w:rsidSect="00EC4CE6">
          <w:pgSz w:w="12240" w:h="15840" w:code="1"/>
          <w:pgMar w:top="1440" w:right="1440" w:bottom="1440" w:left="1440" w:header="720" w:footer="720" w:gutter="0"/>
          <w:pgNumType w:fmt="lowerRoman"/>
          <w:cols w:space="720"/>
          <w:docGrid w:linePitch="360"/>
        </w:sectPr>
      </w:pPr>
    </w:p>
    <w:p w14:paraId="23E40456" w14:textId="4644D346" w:rsidR="009D6655" w:rsidRDefault="00254359" w:rsidP="009A6217">
      <w:pPr>
        <w:pStyle w:val="pleadingtls2"/>
        <w:jc w:val="both"/>
      </w:pPr>
      <w:bookmarkStart w:id="104" w:name="_Toc83814451"/>
      <w:bookmarkStart w:id="105" w:name="_Toc83846166"/>
      <w:r>
        <w:t>INTRODUCTION</w:t>
      </w:r>
      <w:bookmarkEnd w:id="104"/>
      <w:bookmarkEnd w:id="105"/>
    </w:p>
    <w:p w14:paraId="614B7405" w14:textId="69AB6DBF" w:rsidR="00EC0F84" w:rsidRDefault="00EC0F84" w:rsidP="00590AE0">
      <w:pPr>
        <w:spacing w:line="480" w:lineRule="auto"/>
        <w:ind w:firstLine="720"/>
      </w:pPr>
      <w:r>
        <w:t>The Governor’s Executive Order GA-38 is having a profound impact on students with disabilities, who are at greater risk than their classmates of serious illness or death from COVID-19.  GA-38 deprives local school officials of the</w:t>
      </w:r>
      <w:r w:rsidR="005C554A">
        <w:t xml:space="preserve"> discretion</w:t>
      </w:r>
      <w:r>
        <w:t xml:space="preserve"> to </w:t>
      </w:r>
      <w:r w:rsidR="005C554A">
        <w:t>require masking</w:t>
      </w:r>
      <w:r>
        <w:t xml:space="preserve"> when, in their judgment, </w:t>
      </w:r>
      <w:r w:rsidR="005C554A">
        <w:t>requiring masking</w:t>
      </w:r>
      <w:r>
        <w:t xml:space="preserve"> is necessary to protect the health of the students in their care.  This restriction has become more and more alarming as the school year has proceeded, as </w:t>
      </w:r>
      <w:r w:rsidRPr="00EC0F84">
        <w:t>more Texas public school students have tested positive for COVID-19 during the first seven weeks of the current school year than all of last year</w:t>
      </w:r>
      <w:r>
        <w:t xml:space="preserve">.  What should have been a public health issue has become a political football.  In the face of this political debate, students with disabilities face an impossible choice:  either attend school in person and face a potentially life-threatening health risk, or protect their health and be deprived of the essential benefits of a public school education.   </w:t>
      </w:r>
    </w:p>
    <w:p w14:paraId="26AECBE5" w14:textId="77777777" w:rsidR="00EC0F84" w:rsidRDefault="00EC0F84" w:rsidP="00590AE0">
      <w:pPr>
        <w:spacing w:line="480" w:lineRule="auto"/>
        <w:ind w:firstLine="720"/>
      </w:pPr>
      <w:r>
        <w:t>Plaintiffs are among those students, and they bring this suit to enjoin Defendants’ enforcement of GA-38 as inconsistent with federal law.  They assert claims under the Americans with Disabilities Act and Section 504 of the Rehabilitation Act.  They also assert that GA-38 is preempted under the Supremacy Clause of the U.S. Constitution, because it conflicts with the Americans with Disabilities Act, the Rehabilitation Act, and the American Rescue Plan Act of 2021, which imposes certain conditions on the state’s receipt of COVID-related funding.  For all these reasons, GA-38 is unlawful and void, and this Court should enjoin its enforcement.  It will not be alone in doing so:  five other district courts have already enjoined similar orders.</w:t>
      </w:r>
    </w:p>
    <w:p w14:paraId="1AD0CF22" w14:textId="77777777" w:rsidR="00EC0F84" w:rsidRDefault="00EC0F84" w:rsidP="00590AE0">
      <w:pPr>
        <w:spacing w:line="480" w:lineRule="auto"/>
        <w:ind w:firstLine="720"/>
      </w:pPr>
      <w:r>
        <w:tab/>
        <w:t xml:space="preserve">Defendants cannot avoid this suit by claiming sovereign immunity.  With respect to Plaintiffs’ statutory claims, either the State has waived any sovereign immunity or Congress has abrogated it.  And in any event, when a state official is enforcing a requirement that violates federal law, he is not acting as an arm of the state and cannot claim sovereign immunity.  The </w:t>
      </w:r>
      <w:r w:rsidRPr="00EC0F84">
        <w:rPr>
          <w:i/>
          <w:iCs/>
        </w:rPr>
        <w:t>Ex parte Young</w:t>
      </w:r>
      <w:r>
        <w:t xml:space="preserve"> doctrine allows plaintiffs to seek a federal injunction against state officials to prevent them from enforcing state requirements that violate federal law.  That is exactly what Defendants are doing today.  Attorney General Paxton is actively enforcing GA-38 against school districts across the state that have required masking—including by suing fifteen of them and sending letters to nearly a hundred, threatening litigation.  Indeed, the Attorney General has promised to sue every school district that fails to comply with GA-38.  And Commissioner Morath of the Texas Education Authority (“TEA”) is enforcing GA-38 against school districts by publishing “public health guidance” that informs school districts of their obligations under GA-38 and by providing the Attorney General with the information he needs for his statewide enforcement campaign.  Defendants insist that this Court should close its eyes to these activities, arguing that GA-38 does not specifically charge them with enforcement.  But there is no dispute that they have enforcement power—and are actively exercising it today.  The Supreme Court’s decision in </w:t>
      </w:r>
      <w:r w:rsidRPr="00EC0F84">
        <w:rPr>
          <w:i/>
          <w:iCs/>
        </w:rPr>
        <w:t>Ex parte Young</w:t>
      </w:r>
      <w:r>
        <w:t xml:space="preserve"> is clear, and the Fifth Circuit’s cases do not require a contrary result.  </w:t>
      </w:r>
    </w:p>
    <w:p w14:paraId="57A71501" w14:textId="525616A2" w:rsidR="00EC0F84" w:rsidRDefault="00EC0F84" w:rsidP="00590AE0">
      <w:pPr>
        <w:spacing w:line="480" w:lineRule="auto"/>
        <w:ind w:firstLine="720"/>
      </w:pPr>
      <w:r>
        <w:t xml:space="preserve">Plaintiffs also have standing.  Because of their disabilities, Plaintiffs face a greater risk than the general population of contracting COVID-19 and suffering life-threatening complications and death.  </w:t>
      </w:r>
      <w:bookmarkStart w:id="106" w:name="_Hlk83831403"/>
      <w:r>
        <w:t>GA-38 deprives them of the opportunity to attend in person or have meaningful access to public school by stripping school districts of the discretion to require masks, even in the face of high community spread.</w:t>
      </w:r>
      <w:bookmarkEnd w:id="106"/>
      <w:r>
        <w:t xml:space="preserve">  Plaintiffs’ injury is fairly traceable to Defendants’ action because the enforcement of GA-38 has caused or will likely imminently cause Plaintiffs’ school districts to abandon mask requirements they would otherwise impose.  And the evidence shows that an order from this Court enjoining Defendants from enforcing GA-38 will redress Plaintiffs’ injuries because, in that event, their school districts will implement mask requirements.</w:t>
      </w:r>
    </w:p>
    <w:p w14:paraId="3FDDB668" w14:textId="7676F16F" w:rsidR="00EC0F84" w:rsidRDefault="00EC0F84" w:rsidP="00590AE0">
      <w:pPr>
        <w:spacing w:line="480" w:lineRule="auto"/>
        <w:ind w:firstLine="720"/>
      </w:pPr>
      <w:r>
        <w:t>On the merits of their claims, the evidence shows overwhelmingly that Plaintiffs have been deprived of their rights under the Americans with Disabilities Act (“ADA”) and Section 504 of the Rehabilitation Act.  It is undisputed that Plaintiffs are children who are qualified individuals with disabilities under these Acts.  It is also undisputed that (1) Plaintiffs suffer a heightened risk of severe complications if infected with COVID-19, (2) the Delta variant is more contagious and harmful to pediatric patients</w:t>
      </w:r>
      <w:r w:rsidR="005C554A">
        <w:t xml:space="preserve"> than prior variants</w:t>
      </w:r>
      <w:r>
        <w:t xml:space="preserve">, and (3) the number of COVID-19 positive cases in Texas public schools (after just one-and-a-half months) is exponentially higher than last year, when local school officials were allowed to require masks.  The record in this case establishes that GA-38 discriminates against Plaintiffs by reason of their disabilities because it results in their exclusion or unequal access to in-person, public school education.  Further, GA-38 prevents Texas schools, including Plaintiffs’ own schools, from considering or providing masking requirements as a reasonable modification to avoid this discrimination.  </w:t>
      </w:r>
    </w:p>
    <w:p w14:paraId="39BDE19B" w14:textId="13B7F2D9" w:rsidR="00EC0F84" w:rsidRDefault="00EC0F84" w:rsidP="00590AE0">
      <w:pPr>
        <w:spacing w:line="480" w:lineRule="auto"/>
        <w:ind w:firstLine="720"/>
      </w:pPr>
      <w:r>
        <w:t>GA-38 and the TEA’s Public Health Guidance are also preempted by the ADA and the Rehabilitation Act, as well as the American Rescue Plan of 2021.  GA-38’s categorical prohibition on mask requirements is in irreconcilable conflict with Congress’s choice to give local school districts discretion to decide for themselves whether and to what extent to adopt policies, such as universal masking, that will best ensure a safe return to in-person instruction.  Plaintiffs’ preemption claims are properly before this Court because they are grounded in the Court’s well-established and longstanding equitable power to enjoin unlawful actions by state officials.  This Court should grant the injunction.</w:t>
      </w:r>
    </w:p>
    <w:p w14:paraId="6C3A06DE" w14:textId="4E9FF4FC" w:rsidR="00734FC1" w:rsidRPr="00DA5613" w:rsidRDefault="00254359" w:rsidP="009A6217">
      <w:pPr>
        <w:pStyle w:val="pleadingtls2"/>
        <w:jc w:val="both"/>
      </w:pPr>
      <w:bookmarkStart w:id="107" w:name="_Toc83814452"/>
      <w:bookmarkStart w:id="108" w:name="_Toc83846167"/>
      <w:bookmarkStart w:id="109" w:name="_Hlk83839096"/>
      <w:r>
        <w:t>FACTUAL BACKGROUND</w:t>
      </w:r>
      <w:bookmarkEnd w:id="107"/>
      <w:bookmarkEnd w:id="108"/>
    </w:p>
    <w:p w14:paraId="37E335C3" w14:textId="30F7443F" w:rsidR="00A01747" w:rsidRPr="00DA5613" w:rsidRDefault="00200849" w:rsidP="009A6217">
      <w:pPr>
        <w:pStyle w:val="pleadingtls3"/>
        <w:jc w:val="both"/>
      </w:pPr>
      <w:bookmarkStart w:id="110" w:name="_Toc83814453"/>
      <w:bookmarkStart w:id="111" w:name="_Toc83846168"/>
      <w:r>
        <w:t xml:space="preserve">The </w:t>
      </w:r>
      <w:r w:rsidR="00A01747" w:rsidRPr="00DA5613">
        <w:t xml:space="preserve">Governor </w:t>
      </w:r>
      <w:r w:rsidR="00867055" w:rsidRPr="00DA5613">
        <w:t>issues</w:t>
      </w:r>
      <w:r w:rsidR="00A01747" w:rsidRPr="00DA5613">
        <w:t xml:space="preserve"> Executive </w:t>
      </w:r>
      <w:r w:rsidR="00EC0F84">
        <w:t xml:space="preserve">Order </w:t>
      </w:r>
      <w:r w:rsidR="00A01747" w:rsidRPr="00DA5613">
        <w:t xml:space="preserve">GA-38 </w:t>
      </w:r>
      <w:r w:rsidR="00867055" w:rsidRPr="00DA5613">
        <w:t>on</w:t>
      </w:r>
      <w:r w:rsidR="00A01747" w:rsidRPr="00DA5613">
        <w:t xml:space="preserve"> July </w:t>
      </w:r>
      <w:r w:rsidR="00EC0F84">
        <w:t>29</w:t>
      </w:r>
      <w:r w:rsidR="00A01747" w:rsidRPr="00DA5613">
        <w:t>, 2021</w:t>
      </w:r>
      <w:r>
        <w:t>,</w:t>
      </w:r>
      <w:r w:rsidR="00A01747" w:rsidRPr="00DA5613">
        <w:t xml:space="preserve"> prohibit</w:t>
      </w:r>
      <w:r w:rsidR="00867055" w:rsidRPr="00DA5613">
        <w:t>ing</w:t>
      </w:r>
      <w:r>
        <w:t xml:space="preserve"> public</w:t>
      </w:r>
      <w:r w:rsidR="00A01747" w:rsidRPr="00DA5613">
        <w:t xml:space="preserve"> schools from implementing mask </w:t>
      </w:r>
      <w:r w:rsidR="009D3ABD">
        <w:t>requirements</w:t>
      </w:r>
      <w:r w:rsidR="009D3ABD" w:rsidRPr="00DA5613">
        <w:t xml:space="preserve"> </w:t>
      </w:r>
      <w:r w:rsidR="00867055" w:rsidRPr="00DA5613">
        <w:t>for the 2021-2022 school year</w:t>
      </w:r>
      <w:r w:rsidR="00A01747" w:rsidRPr="00DA5613">
        <w:t>.</w:t>
      </w:r>
      <w:bookmarkEnd w:id="110"/>
      <w:bookmarkEnd w:id="111"/>
      <w:r w:rsidR="00A01747" w:rsidRPr="00DA5613">
        <w:t xml:space="preserve"> </w:t>
      </w:r>
    </w:p>
    <w:p w14:paraId="47BCAAE6" w14:textId="3D2B3249" w:rsidR="0001726F" w:rsidRPr="00DA5613" w:rsidRDefault="00BA36CF" w:rsidP="00590AE0">
      <w:pPr>
        <w:spacing w:line="480" w:lineRule="auto"/>
        <w:ind w:firstLine="720"/>
        <w:rPr>
          <w:rFonts w:asciiTheme="minorHAnsi" w:hAnsiTheme="minorHAnsi" w:cstheme="minorHAnsi"/>
        </w:rPr>
      </w:pPr>
      <w:r w:rsidRPr="00DA5613">
        <w:rPr>
          <w:rFonts w:asciiTheme="minorHAnsi" w:hAnsiTheme="minorHAnsi" w:cstheme="minorHAnsi"/>
        </w:rPr>
        <w:t xml:space="preserve">On July 29, 2021, </w:t>
      </w:r>
      <w:r w:rsidR="00EC0F84">
        <w:rPr>
          <w:rFonts w:asciiTheme="minorHAnsi" w:hAnsiTheme="minorHAnsi" w:cstheme="minorHAnsi"/>
        </w:rPr>
        <w:t xml:space="preserve">Texas </w:t>
      </w:r>
      <w:r w:rsidRPr="00DA5613">
        <w:rPr>
          <w:rFonts w:asciiTheme="minorHAnsi" w:hAnsiTheme="minorHAnsi" w:cstheme="minorHAnsi"/>
        </w:rPr>
        <w:t xml:space="preserve">Governor </w:t>
      </w:r>
      <w:r w:rsidR="00EC0F84">
        <w:rPr>
          <w:rFonts w:asciiTheme="minorHAnsi" w:hAnsiTheme="minorHAnsi" w:cstheme="minorHAnsi"/>
        </w:rPr>
        <w:t xml:space="preserve">Greg </w:t>
      </w:r>
      <w:r w:rsidRPr="00DA5613">
        <w:rPr>
          <w:rFonts w:asciiTheme="minorHAnsi" w:hAnsiTheme="minorHAnsi" w:cstheme="minorHAnsi"/>
        </w:rPr>
        <w:t>Abbott issued Executive</w:t>
      </w:r>
      <w:r w:rsidR="00AB628B" w:rsidRPr="00DA5613">
        <w:rPr>
          <w:rFonts w:asciiTheme="minorHAnsi" w:hAnsiTheme="minorHAnsi" w:cstheme="minorHAnsi"/>
        </w:rPr>
        <w:t xml:space="preserve"> Order</w:t>
      </w:r>
      <w:r w:rsidRPr="00DA5613">
        <w:rPr>
          <w:rFonts w:asciiTheme="minorHAnsi" w:hAnsiTheme="minorHAnsi" w:cstheme="minorHAnsi"/>
        </w:rPr>
        <w:t xml:space="preserve"> GA-38, which prohibits governmental entities, including public school districts, from imposing mask requirement</w:t>
      </w:r>
      <w:r w:rsidR="00000E5F" w:rsidRPr="00DA5613">
        <w:rPr>
          <w:rFonts w:asciiTheme="minorHAnsi" w:hAnsiTheme="minorHAnsi" w:cstheme="minorHAnsi"/>
        </w:rPr>
        <w:t>s</w:t>
      </w:r>
      <w:r w:rsidRPr="00DA5613">
        <w:rPr>
          <w:rFonts w:asciiTheme="minorHAnsi" w:hAnsiTheme="minorHAnsi" w:cstheme="minorHAnsi"/>
        </w:rPr>
        <w:t xml:space="preserve">. </w:t>
      </w:r>
      <w:r w:rsidR="00781C9D">
        <w:rPr>
          <w:rFonts w:asciiTheme="minorHAnsi" w:hAnsiTheme="minorHAnsi" w:cstheme="minorHAnsi"/>
        </w:rPr>
        <w:t xml:space="preserve"> </w:t>
      </w:r>
      <w:r w:rsidRPr="00DA5613">
        <w:rPr>
          <w:rFonts w:asciiTheme="minorHAnsi" w:hAnsiTheme="minorHAnsi" w:cstheme="minorHAnsi"/>
        </w:rPr>
        <w:t xml:space="preserve">Ex. </w:t>
      </w:r>
      <w:r w:rsidR="006D5914">
        <w:rPr>
          <w:rFonts w:asciiTheme="minorHAnsi" w:hAnsiTheme="minorHAnsi" w:cstheme="minorHAnsi"/>
        </w:rPr>
        <w:t>1</w:t>
      </w:r>
      <w:r w:rsidR="009A6217">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4(a). </w:t>
      </w:r>
      <w:r w:rsidR="00781C9D">
        <w:rPr>
          <w:rFonts w:asciiTheme="minorHAnsi" w:hAnsiTheme="minorHAnsi" w:cstheme="minorHAnsi"/>
        </w:rPr>
        <w:t xml:space="preserve"> </w:t>
      </w:r>
      <w:r w:rsidR="00CC72EA" w:rsidRPr="00DA5613">
        <w:rPr>
          <w:rFonts w:asciiTheme="minorHAnsi" w:hAnsiTheme="minorHAnsi" w:cstheme="minorHAnsi"/>
        </w:rPr>
        <w:t xml:space="preserve">Within days, </w:t>
      </w:r>
      <w:r w:rsidR="0001726F" w:rsidRPr="00DA5613">
        <w:rPr>
          <w:rFonts w:asciiTheme="minorHAnsi" w:hAnsiTheme="minorHAnsi" w:cstheme="minorHAnsi"/>
        </w:rPr>
        <w:t xml:space="preserve">the Texas Education Agency (“TEA”)—the state agency that oversees primary and secondary public education in the State of Texas—issued </w:t>
      </w:r>
      <w:r w:rsidR="00000E5F" w:rsidRPr="00DA5613">
        <w:rPr>
          <w:rFonts w:asciiTheme="minorHAnsi" w:hAnsiTheme="minorHAnsi" w:cstheme="minorHAnsi"/>
        </w:rPr>
        <w:t xml:space="preserve">its </w:t>
      </w:r>
      <w:r w:rsidR="00966CB4" w:rsidRPr="00DA5613">
        <w:rPr>
          <w:rFonts w:asciiTheme="minorHAnsi" w:hAnsiTheme="minorHAnsi" w:cstheme="minorHAnsi"/>
        </w:rPr>
        <w:t>updated “Public Health Guidance,” which establishes requirements for school systems during the pandemic, to</w:t>
      </w:r>
      <w:r w:rsidR="00000E5F" w:rsidRPr="00DA5613">
        <w:rPr>
          <w:rFonts w:asciiTheme="minorHAnsi" w:hAnsiTheme="minorHAnsi" w:cstheme="minorHAnsi"/>
        </w:rPr>
        <w:t xml:space="preserve"> reflect</w:t>
      </w:r>
      <w:r w:rsidR="00966CB4" w:rsidRPr="00DA5613">
        <w:rPr>
          <w:rFonts w:asciiTheme="minorHAnsi" w:hAnsiTheme="minorHAnsi" w:cstheme="minorHAnsi"/>
        </w:rPr>
        <w:t xml:space="preserve"> that “[p]er GA-38, school systems cannot require students or staff to wear a mask.” </w:t>
      </w:r>
      <w:r w:rsidR="00781C9D">
        <w:rPr>
          <w:rFonts w:asciiTheme="minorHAnsi" w:hAnsiTheme="minorHAnsi" w:cstheme="minorHAnsi"/>
        </w:rPr>
        <w:t xml:space="preserve"> </w:t>
      </w:r>
      <w:r w:rsidR="0001726F" w:rsidRPr="00DA5613">
        <w:rPr>
          <w:rFonts w:asciiTheme="minorHAnsi" w:hAnsiTheme="minorHAnsi" w:cstheme="minorHAnsi"/>
        </w:rPr>
        <w:t xml:space="preserve">Ex. </w:t>
      </w:r>
      <w:r w:rsidR="006D5914">
        <w:rPr>
          <w:rFonts w:asciiTheme="minorHAnsi" w:hAnsiTheme="minorHAnsi" w:cstheme="minorHAnsi"/>
        </w:rPr>
        <w:t>4</w:t>
      </w:r>
      <w:r w:rsidR="0001726F" w:rsidRPr="00DA5613">
        <w:rPr>
          <w:rFonts w:asciiTheme="minorHAnsi" w:hAnsiTheme="minorHAnsi" w:cstheme="minorHAnsi"/>
        </w:rPr>
        <w:t xml:space="preserve"> (August 5, 2021 TEA Public Health Guidance).</w:t>
      </w:r>
      <w:r w:rsidR="00BF5122">
        <w:rPr>
          <w:rFonts w:asciiTheme="minorHAnsi" w:hAnsiTheme="minorHAnsi" w:cstheme="minorHAnsi"/>
        </w:rPr>
        <w:t xml:space="preserve"> </w:t>
      </w:r>
      <w:r w:rsidR="00781C9D">
        <w:rPr>
          <w:rFonts w:asciiTheme="minorHAnsi" w:hAnsiTheme="minorHAnsi" w:cstheme="minorHAnsi"/>
        </w:rPr>
        <w:t xml:space="preserve"> </w:t>
      </w:r>
      <w:r w:rsidR="00CC72EA" w:rsidRPr="00DA5613">
        <w:rPr>
          <w:rFonts w:asciiTheme="minorHAnsi" w:hAnsiTheme="minorHAnsi" w:cstheme="minorHAnsi"/>
        </w:rPr>
        <w:t xml:space="preserve">It </w:t>
      </w:r>
      <w:r w:rsidR="00E106A8">
        <w:rPr>
          <w:rFonts w:asciiTheme="minorHAnsi" w:hAnsiTheme="minorHAnsi" w:cstheme="minorHAnsi"/>
        </w:rPr>
        <w:t xml:space="preserve">has </w:t>
      </w:r>
      <w:r w:rsidR="00CC72EA" w:rsidRPr="00DA5613">
        <w:rPr>
          <w:rFonts w:asciiTheme="minorHAnsi" w:hAnsiTheme="minorHAnsi" w:cstheme="minorHAnsi"/>
        </w:rPr>
        <w:t xml:space="preserve">updated that guidance </w:t>
      </w:r>
      <w:r w:rsidR="00E106A8">
        <w:rPr>
          <w:rFonts w:asciiTheme="minorHAnsi" w:hAnsiTheme="minorHAnsi" w:cstheme="minorHAnsi"/>
        </w:rPr>
        <w:t xml:space="preserve">three times since then—most recently </w:t>
      </w:r>
      <w:r w:rsidR="00CC72EA" w:rsidRPr="00DA5613">
        <w:rPr>
          <w:rFonts w:asciiTheme="minorHAnsi" w:hAnsiTheme="minorHAnsi" w:cstheme="minorHAnsi"/>
        </w:rPr>
        <w:t xml:space="preserve">on </w:t>
      </w:r>
      <w:r w:rsidR="00966CB4" w:rsidRPr="00DA5613">
        <w:rPr>
          <w:rFonts w:asciiTheme="minorHAnsi" w:hAnsiTheme="minorHAnsi" w:cstheme="minorHAnsi"/>
        </w:rPr>
        <w:t>September 17</w:t>
      </w:r>
      <w:r w:rsidR="00CC72EA" w:rsidRPr="00DA5613">
        <w:rPr>
          <w:rFonts w:asciiTheme="minorHAnsi" w:hAnsiTheme="minorHAnsi" w:cstheme="minorHAnsi"/>
        </w:rPr>
        <w:t xml:space="preserve">. </w:t>
      </w:r>
      <w:r w:rsidR="009C45FA" w:rsidRPr="00DA5613">
        <w:rPr>
          <w:rFonts w:asciiTheme="minorHAnsi" w:hAnsiTheme="minorHAnsi" w:cstheme="minorHAnsi"/>
        </w:rPr>
        <w:t xml:space="preserve">Ex. </w:t>
      </w:r>
      <w:r w:rsidR="006D5914">
        <w:rPr>
          <w:rFonts w:asciiTheme="minorHAnsi" w:hAnsiTheme="minorHAnsi" w:cstheme="minorHAnsi"/>
        </w:rPr>
        <w:t>2</w:t>
      </w:r>
      <w:r w:rsidR="009C45FA" w:rsidRPr="00DA5613">
        <w:rPr>
          <w:rFonts w:asciiTheme="minorHAnsi" w:hAnsiTheme="minorHAnsi" w:cstheme="minorHAnsi"/>
        </w:rPr>
        <w:t xml:space="preserve"> (September 17, 2021 TEA Public Health Guidance).</w:t>
      </w:r>
      <w:r w:rsidR="00CC72EA" w:rsidRPr="00DA5613">
        <w:rPr>
          <w:rFonts w:asciiTheme="minorHAnsi" w:hAnsiTheme="minorHAnsi" w:cstheme="minorHAnsi"/>
        </w:rPr>
        <w:t xml:space="preserve"> </w:t>
      </w:r>
      <w:r w:rsidR="00781C9D">
        <w:rPr>
          <w:rFonts w:asciiTheme="minorHAnsi" w:hAnsiTheme="minorHAnsi" w:cstheme="minorHAnsi"/>
        </w:rPr>
        <w:t xml:space="preserve"> </w:t>
      </w:r>
      <w:r w:rsidR="00CC72EA" w:rsidRPr="00DA5613">
        <w:rPr>
          <w:rFonts w:asciiTheme="minorHAnsi" w:hAnsiTheme="minorHAnsi" w:cstheme="minorHAnsi"/>
        </w:rPr>
        <w:t>That updated</w:t>
      </w:r>
      <w:r w:rsidR="00966CB4" w:rsidRPr="00DA5613">
        <w:rPr>
          <w:rFonts w:asciiTheme="minorHAnsi" w:hAnsiTheme="minorHAnsi" w:cstheme="minorHAnsi"/>
        </w:rPr>
        <w:t xml:space="preserve"> guidance</w:t>
      </w:r>
      <w:r w:rsidR="0041678A" w:rsidRPr="00DA5613">
        <w:rPr>
          <w:rFonts w:asciiTheme="minorHAnsi" w:hAnsiTheme="minorHAnsi" w:cstheme="minorHAnsi"/>
        </w:rPr>
        <w:t xml:space="preserve"> </w:t>
      </w:r>
      <w:r w:rsidR="00000E5F" w:rsidRPr="00DA5613">
        <w:rPr>
          <w:rFonts w:asciiTheme="minorHAnsi" w:hAnsiTheme="minorHAnsi" w:cstheme="minorHAnsi"/>
        </w:rPr>
        <w:t xml:space="preserve">continues to reiterate GA-38’s mandate that public schools </w:t>
      </w:r>
      <w:r w:rsidR="00EC0F84" w:rsidRPr="00DA5613">
        <w:rPr>
          <w:rFonts w:asciiTheme="minorHAnsi" w:hAnsiTheme="minorHAnsi" w:cstheme="minorHAnsi"/>
        </w:rPr>
        <w:t>are not</w:t>
      </w:r>
      <w:r w:rsidR="00000E5F" w:rsidRPr="00DA5613">
        <w:rPr>
          <w:rFonts w:asciiTheme="minorHAnsi" w:hAnsiTheme="minorHAnsi" w:cstheme="minorHAnsi"/>
        </w:rPr>
        <w:t xml:space="preserve"> permitted to require students, staff, or visitors to wear masks in their facilities</w:t>
      </w:r>
      <w:r w:rsidR="00F453A5">
        <w:rPr>
          <w:rFonts w:asciiTheme="minorHAnsi" w:hAnsiTheme="minorHAnsi" w:cstheme="minorHAnsi"/>
        </w:rPr>
        <w:t xml:space="preserve">.  </w:t>
      </w:r>
    </w:p>
    <w:p w14:paraId="51864EA3" w14:textId="5E3C3817" w:rsidR="008045ED" w:rsidRPr="00DA5613" w:rsidRDefault="009425DC" w:rsidP="00590AE0">
      <w:pPr>
        <w:spacing w:line="480" w:lineRule="auto"/>
        <w:ind w:firstLine="720"/>
        <w:rPr>
          <w:rFonts w:asciiTheme="minorHAnsi" w:hAnsiTheme="minorHAnsi" w:cstheme="minorHAnsi"/>
        </w:rPr>
      </w:pPr>
      <w:r w:rsidRPr="00DA5613">
        <w:rPr>
          <w:rFonts w:asciiTheme="minorHAnsi" w:hAnsiTheme="minorHAnsi" w:cstheme="minorHAnsi"/>
        </w:rPr>
        <w:t>Most Texas public schools began in-person classes between August 9 and 23</w:t>
      </w:r>
      <w:r w:rsidR="00AB628B" w:rsidRPr="00DA5613">
        <w:rPr>
          <w:rFonts w:asciiTheme="minorHAnsi" w:hAnsiTheme="minorHAnsi" w:cstheme="minorHAnsi"/>
        </w:rPr>
        <w:t xml:space="preserve">. </w:t>
      </w:r>
      <w:r w:rsidR="00781C9D">
        <w:rPr>
          <w:rFonts w:asciiTheme="minorHAnsi" w:hAnsiTheme="minorHAnsi" w:cstheme="minorHAnsi"/>
        </w:rPr>
        <w:t xml:space="preserve"> </w:t>
      </w:r>
      <w:r w:rsidR="008045ED" w:rsidRPr="00DA5613">
        <w:rPr>
          <w:rFonts w:asciiTheme="minorHAnsi" w:hAnsiTheme="minorHAnsi" w:cstheme="minorHAnsi"/>
        </w:rPr>
        <w:t xml:space="preserve">Since the beginning of </w:t>
      </w:r>
      <w:r w:rsidR="00000E5F" w:rsidRPr="00DA5613">
        <w:rPr>
          <w:rFonts w:asciiTheme="minorHAnsi" w:hAnsiTheme="minorHAnsi" w:cstheme="minorHAnsi"/>
        </w:rPr>
        <w:t xml:space="preserve">the </w:t>
      </w:r>
      <w:r w:rsidR="008045ED" w:rsidRPr="00DA5613">
        <w:rPr>
          <w:rFonts w:asciiTheme="minorHAnsi" w:hAnsiTheme="minorHAnsi" w:cstheme="minorHAnsi"/>
        </w:rPr>
        <w:t>school</w:t>
      </w:r>
      <w:r w:rsidR="00000E5F" w:rsidRPr="00DA5613">
        <w:rPr>
          <w:rFonts w:asciiTheme="minorHAnsi" w:hAnsiTheme="minorHAnsi" w:cstheme="minorHAnsi"/>
        </w:rPr>
        <w:t xml:space="preserve"> year</w:t>
      </w:r>
      <w:r w:rsidR="008045ED" w:rsidRPr="00DA5613">
        <w:rPr>
          <w:rFonts w:asciiTheme="minorHAnsi" w:hAnsiTheme="minorHAnsi" w:cstheme="minorHAnsi"/>
        </w:rPr>
        <w:t xml:space="preserve"> (about 6-7 weeks ago), 154,444 </w:t>
      </w:r>
      <w:r w:rsidR="00CC72EA" w:rsidRPr="00DA5613">
        <w:rPr>
          <w:rFonts w:asciiTheme="minorHAnsi" w:hAnsiTheme="minorHAnsi" w:cstheme="minorHAnsi"/>
        </w:rPr>
        <w:t xml:space="preserve">students have tested positive for </w:t>
      </w:r>
      <w:r w:rsidR="008045ED" w:rsidRPr="00DA5613">
        <w:rPr>
          <w:rFonts w:asciiTheme="minorHAnsi" w:hAnsiTheme="minorHAnsi" w:cstheme="minorHAnsi"/>
        </w:rPr>
        <w:t>COVID-19</w:t>
      </w:r>
      <w:r w:rsidR="00CC72EA" w:rsidRPr="00DA5613">
        <w:rPr>
          <w:rFonts w:asciiTheme="minorHAnsi" w:hAnsiTheme="minorHAnsi" w:cstheme="minorHAnsi"/>
        </w:rPr>
        <w:t>.</w:t>
      </w:r>
      <w:r w:rsidR="008045ED" w:rsidRPr="00DA5613">
        <w:rPr>
          <w:rFonts w:asciiTheme="minorHAnsi" w:hAnsiTheme="minorHAnsi" w:cstheme="minorHAnsi"/>
        </w:rPr>
        <w:t xml:space="preserve"> </w:t>
      </w:r>
      <w:r w:rsidR="00781C9D">
        <w:rPr>
          <w:rFonts w:asciiTheme="minorHAnsi" w:hAnsiTheme="minorHAnsi" w:cstheme="minorHAnsi"/>
        </w:rPr>
        <w:t xml:space="preserve"> </w:t>
      </w:r>
      <w:r w:rsidR="008045ED" w:rsidRPr="00DA5613">
        <w:rPr>
          <w:rFonts w:asciiTheme="minorHAnsi" w:hAnsiTheme="minorHAnsi" w:cstheme="minorHAnsi"/>
        </w:rPr>
        <w:t xml:space="preserve">Ex. </w:t>
      </w:r>
      <w:r w:rsidR="00756431">
        <w:rPr>
          <w:rFonts w:asciiTheme="minorHAnsi" w:hAnsiTheme="minorHAnsi" w:cstheme="minorHAnsi"/>
        </w:rPr>
        <w:t>7</w:t>
      </w:r>
      <w:r w:rsidR="008045ED" w:rsidRPr="00DA5613">
        <w:rPr>
          <w:rFonts w:asciiTheme="minorHAnsi" w:hAnsiTheme="minorHAnsi" w:cstheme="minorHAnsi"/>
        </w:rPr>
        <w:t xml:space="preserve"> (Texas Health and Human Services, Texas Public Schools COVID-19 Data </w:t>
      </w:r>
      <w:r w:rsidR="00617B6D" w:rsidRPr="00DA5613">
        <w:rPr>
          <w:rFonts w:asciiTheme="minorHAnsi" w:hAnsiTheme="minorHAnsi" w:cstheme="minorHAnsi"/>
        </w:rPr>
        <w:t>a</w:t>
      </w:r>
      <w:r w:rsidR="008045ED" w:rsidRPr="00DA5613">
        <w:rPr>
          <w:rFonts w:asciiTheme="minorHAnsi" w:hAnsiTheme="minorHAnsi" w:cstheme="minorHAnsi"/>
        </w:rPr>
        <w:t xml:space="preserve">s of September 19, 2021). </w:t>
      </w:r>
      <w:r w:rsidR="00781C9D">
        <w:rPr>
          <w:rFonts w:asciiTheme="minorHAnsi" w:hAnsiTheme="minorHAnsi" w:cstheme="minorHAnsi"/>
        </w:rPr>
        <w:t xml:space="preserve"> </w:t>
      </w:r>
      <w:r w:rsidR="00CC72EA" w:rsidRPr="00DA5613">
        <w:rPr>
          <w:rFonts w:asciiTheme="minorHAnsi" w:hAnsiTheme="minorHAnsi" w:cstheme="minorHAnsi"/>
        </w:rPr>
        <w:t>By comparison, only</w:t>
      </w:r>
      <w:r w:rsidR="00617B6D" w:rsidRPr="00DA5613">
        <w:rPr>
          <w:rFonts w:asciiTheme="minorHAnsi" w:hAnsiTheme="minorHAnsi" w:cstheme="minorHAnsi"/>
        </w:rPr>
        <w:t xml:space="preserve"> 148,197 </w:t>
      </w:r>
      <w:r w:rsidR="00CC72EA" w:rsidRPr="00DA5613">
        <w:rPr>
          <w:rFonts w:asciiTheme="minorHAnsi" w:hAnsiTheme="minorHAnsi" w:cstheme="minorHAnsi"/>
        </w:rPr>
        <w:t xml:space="preserve">students tested positive for </w:t>
      </w:r>
      <w:r w:rsidR="00617B6D" w:rsidRPr="00DA5613">
        <w:rPr>
          <w:rFonts w:asciiTheme="minorHAnsi" w:hAnsiTheme="minorHAnsi" w:cstheme="minorHAnsi"/>
        </w:rPr>
        <w:t xml:space="preserve">COVID-19 </w:t>
      </w:r>
      <w:r w:rsidR="00CC72EA" w:rsidRPr="00DA5613">
        <w:rPr>
          <w:rFonts w:asciiTheme="minorHAnsi" w:hAnsiTheme="minorHAnsi" w:cstheme="minorHAnsi"/>
        </w:rPr>
        <w:t>during the entire 2020-21 school year</w:t>
      </w:r>
      <w:r w:rsidR="00F453A5">
        <w:rPr>
          <w:rFonts w:asciiTheme="minorHAnsi" w:hAnsiTheme="minorHAnsi" w:cstheme="minorHAnsi"/>
        </w:rPr>
        <w:t xml:space="preserve">.  </w:t>
      </w:r>
      <w:r w:rsidR="00617B6D" w:rsidRPr="00DA5613">
        <w:rPr>
          <w:rFonts w:asciiTheme="minorHAnsi" w:hAnsiTheme="minorHAnsi" w:cstheme="minorHAnsi"/>
        </w:rPr>
        <w:t xml:space="preserve">Ex. </w:t>
      </w:r>
      <w:r w:rsidR="00756431">
        <w:rPr>
          <w:rFonts w:asciiTheme="minorHAnsi" w:hAnsiTheme="minorHAnsi" w:cstheme="minorHAnsi"/>
        </w:rPr>
        <w:t>10</w:t>
      </w:r>
      <w:r w:rsidR="00617B6D" w:rsidRPr="00DA5613">
        <w:rPr>
          <w:rFonts w:asciiTheme="minorHAnsi" w:hAnsiTheme="minorHAnsi" w:cstheme="minorHAnsi"/>
        </w:rPr>
        <w:t xml:space="preserve"> (Texas Health and Human Services, Historical Data for the 2020-2021 School Year). </w:t>
      </w:r>
      <w:r w:rsidR="00781C9D">
        <w:rPr>
          <w:rFonts w:asciiTheme="minorHAnsi" w:hAnsiTheme="minorHAnsi" w:cstheme="minorHAnsi"/>
        </w:rPr>
        <w:t xml:space="preserve"> </w:t>
      </w:r>
      <w:r w:rsidR="00617B6D" w:rsidRPr="00DA5613">
        <w:rPr>
          <w:rFonts w:asciiTheme="minorHAnsi" w:hAnsiTheme="minorHAnsi" w:cstheme="minorHAnsi"/>
        </w:rPr>
        <w:t xml:space="preserve">In other words, there have been more </w:t>
      </w:r>
      <w:r w:rsidR="00000E5F" w:rsidRPr="00DA5613">
        <w:rPr>
          <w:rFonts w:asciiTheme="minorHAnsi" w:hAnsiTheme="minorHAnsi" w:cstheme="minorHAnsi"/>
        </w:rPr>
        <w:t xml:space="preserve">positive student </w:t>
      </w:r>
      <w:r w:rsidR="00617B6D" w:rsidRPr="00DA5613">
        <w:rPr>
          <w:rFonts w:asciiTheme="minorHAnsi" w:hAnsiTheme="minorHAnsi" w:cstheme="minorHAnsi"/>
        </w:rPr>
        <w:t>cases in the first seven weeks of school than there were during the entire 2020-</w:t>
      </w:r>
      <w:r w:rsidR="00000E5F" w:rsidRPr="00DA5613">
        <w:rPr>
          <w:rFonts w:asciiTheme="minorHAnsi" w:hAnsiTheme="minorHAnsi" w:cstheme="minorHAnsi"/>
        </w:rPr>
        <w:t>20</w:t>
      </w:r>
      <w:r w:rsidR="00617B6D" w:rsidRPr="00DA5613">
        <w:rPr>
          <w:rFonts w:asciiTheme="minorHAnsi" w:hAnsiTheme="minorHAnsi" w:cstheme="minorHAnsi"/>
        </w:rPr>
        <w:t>21 school year.</w:t>
      </w:r>
    </w:p>
    <w:p w14:paraId="7E16CE7D" w14:textId="307C650A" w:rsidR="00CC72EA" w:rsidRPr="00DA5613" w:rsidRDefault="00000E5F" w:rsidP="00590AE0">
      <w:pPr>
        <w:spacing w:line="480" w:lineRule="auto"/>
        <w:ind w:firstLine="720"/>
        <w:rPr>
          <w:rFonts w:asciiTheme="minorHAnsi" w:hAnsiTheme="minorHAnsi" w:cstheme="minorHAnsi"/>
        </w:rPr>
      </w:pPr>
      <w:r w:rsidRPr="00DA5613">
        <w:rPr>
          <w:rFonts w:asciiTheme="minorHAnsi" w:hAnsiTheme="minorHAnsi" w:cstheme="minorHAnsi"/>
        </w:rPr>
        <w:t>Why the drastic change</w:t>
      </w:r>
      <w:r w:rsidR="00617B6D" w:rsidRPr="00DA5613">
        <w:rPr>
          <w:rFonts w:asciiTheme="minorHAnsi" w:hAnsiTheme="minorHAnsi" w:cstheme="minorHAnsi"/>
        </w:rPr>
        <w:t xml:space="preserve">? </w:t>
      </w:r>
      <w:r w:rsidR="00781C9D">
        <w:rPr>
          <w:rFonts w:asciiTheme="minorHAnsi" w:hAnsiTheme="minorHAnsi" w:cstheme="minorHAnsi"/>
        </w:rPr>
        <w:t xml:space="preserve"> </w:t>
      </w:r>
      <w:r w:rsidRPr="00DA5613">
        <w:rPr>
          <w:rFonts w:asciiTheme="minorHAnsi" w:hAnsiTheme="minorHAnsi" w:cstheme="minorHAnsi"/>
        </w:rPr>
        <w:t>During last school year,</w:t>
      </w:r>
      <w:r w:rsidR="00617B6D" w:rsidRPr="00DA5613">
        <w:rPr>
          <w:rFonts w:asciiTheme="minorHAnsi" w:hAnsiTheme="minorHAnsi" w:cstheme="minorHAnsi"/>
        </w:rPr>
        <w:t xml:space="preserve"> school districts had the </w:t>
      </w:r>
      <w:r w:rsidRPr="00DA5613">
        <w:rPr>
          <w:rFonts w:asciiTheme="minorHAnsi" w:hAnsiTheme="minorHAnsi" w:cstheme="minorHAnsi"/>
        </w:rPr>
        <w:t>discretion to choose whether to</w:t>
      </w:r>
      <w:r w:rsidR="00617B6D" w:rsidRPr="00DA5613">
        <w:rPr>
          <w:rFonts w:asciiTheme="minorHAnsi" w:hAnsiTheme="minorHAnsi" w:cstheme="minorHAnsi"/>
        </w:rPr>
        <w:t xml:space="preserve"> implement mask mandates </w:t>
      </w:r>
      <w:r w:rsidR="00D24A72" w:rsidRPr="00DA5613">
        <w:rPr>
          <w:rFonts w:asciiTheme="minorHAnsi" w:hAnsiTheme="minorHAnsi" w:cstheme="minorHAnsi"/>
        </w:rPr>
        <w:t>for in-person instruction</w:t>
      </w:r>
      <w:r w:rsidR="00617B6D" w:rsidRPr="00DA5613">
        <w:rPr>
          <w:rFonts w:asciiTheme="minorHAnsi" w:hAnsiTheme="minorHAnsi" w:cstheme="minorHAnsi"/>
        </w:rPr>
        <w:t xml:space="preserve">. </w:t>
      </w:r>
      <w:r w:rsidR="00781C9D">
        <w:rPr>
          <w:rFonts w:asciiTheme="minorHAnsi" w:hAnsiTheme="minorHAnsi" w:cstheme="minorHAnsi"/>
        </w:rPr>
        <w:t xml:space="preserve"> </w:t>
      </w:r>
      <w:r w:rsidR="00CC72EA" w:rsidRPr="00DA5613">
        <w:rPr>
          <w:rFonts w:asciiTheme="minorHAnsi" w:hAnsiTheme="minorHAnsi" w:cstheme="minorHAnsi"/>
        </w:rPr>
        <w:t xml:space="preserve">In general, </w:t>
      </w:r>
      <w:r w:rsidR="00617B6D" w:rsidRPr="00DA5613">
        <w:rPr>
          <w:rFonts w:asciiTheme="minorHAnsi" w:hAnsiTheme="minorHAnsi" w:cstheme="minorHAnsi"/>
        </w:rPr>
        <w:t xml:space="preserve">TEA’s March 25, 2021 Public Health Planning Guidance </w:t>
      </w:r>
      <w:r w:rsidR="00AA17D0" w:rsidRPr="00DA5613">
        <w:rPr>
          <w:rFonts w:asciiTheme="minorHAnsi" w:hAnsiTheme="minorHAnsi" w:cstheme="minorHAnsi"/>
        </w:rPr>
        <w:t>recommended that</w:t>
      </w:r>
      <w:r w:rsidR="00617B6D" w:rsidRPr="00DA5613">
        <w:rPr>
          <w:rFonts w:asciiTheme="minorHAnsi" w:hAnsiTheme="minorHAnsi" w:cstheme="minorHAnsi"/>
        </w:rPr>
        <w:t xml:space="preserve"> </w:t>
      </w:r>
      <w:r w:rsidR="008C175D" w:rsidRPr="00DA5613">
        <w:rPr>
          <w:rFonts w:asciiTheme="minorHAnsi" w:hAnsiTheme="minorHAnsi" w:cstheme="minorHAnsi"/>
        </w:rPr>
        <w:t>“[e]very student, teacher, or staff member shall wear a mask over the nose and mouth when inside a school building, school facility, facility used for school activities, or when in an outdoor space on school property . . . wherever it is not feasible to maintain six feet of social distancing</w:t>
      </w:r>
      <w:r w:rsidR="00CC72EA" w:rsidRPr="00DA5613">
        <w:rPr>
          <w:rFonts w:asciiTheme="minorHAnsi" w:hAnsiTheme="minorHAnsi" w:cstheme="minorHAnsi"/>
        </w:rPr>
        <w:t>.</w:t>
      </w:r>
      <w:r w:rsidR="00AA17D0" w:rsidRPr="00DA5613">
        <w:rPr>
          <w:rFonts w:asciiTheme="minorHAnsi" w:hAnsiTheme="minorHAnsi" w:cstheme="minorHAnsi"/>
        </w:rPr>
        <w:t>”</w:t>
      </w:r>
      <w:r w:rsidR="00617B6D" w:rsidRPr="00DA5613">
        <w:rPr>
          <w:rFonts w:asciiTheme="minorHAnsi" w:hAnsiTheme="minorHAnsi" w:cstheme="minorHAnsi"/>
        </w:rPr>
        <w:t xml:space="preserve"> </w:t>
      </w:r>
      <w:r w:rsidR="00781C9D">
        <w:rPr>
          <w:rFonts w:asciiTheme="minorHAnsi" w:hAnsiTheme="minorHAnsi" w:cstheme="minorHAnsi"/>
        </w:rPr>
        <w:t xml:space="preserve"> </w:t>
      </w:r>
      <w:r w:rsidR="008C175D" w:rsidRPr="00DA5613">
        <w:rPr>
          <w:rFonts w:asciiTheme="minorHAnsi" w:hAnsiTheme="minorHAnsi" w:cstheme="minorHAnsi"/>
        </w:rPr>
        <w:t xml:space="preserve">Ex. </w:t>
      </w:r>
      <w:r w:rsidR="00756431">
        <w:rPr>
          <w:rFonts w:asciiTheme="minorHAnsi" w:hAnsiTheme="minorHAnsi" w:cstheme="minorHAnsi"/>
        </w:rPr>
        <w:t>164</w:t>
      </w:r>
      <w:r w:rsidR="008C175D" w:rsidRPr="00DA5613">
        <w:rPr>
          <w:rFonts w:asciiTheme="minorHAnsi" w:hAnsiTheme="minorHAnsi" w:cstheme="minorHAnsi"/>
        </w:rPr>
        <w:t xml:space="preserve"> (March 25, 2021 TEA Public Health Planning Guidance). </w:t>
      </w:r>
    </w:p>
    <w:p w14:paraId="4391AC0D" w14:textId="47CED395" w:rsidR="00617B6D" w:rsidRPr="00DA5613" w:rsidRDefault="00CC72EA" w:rsidP="00590AE0">
      <w:pPr>
        <w:spacing w:line="480" w:lineRule="auto"/>
        <w:ind w:firstLine="720"/>
        <w:rPr>
          <w:rFonts w:asciiTheme="minorHAnsi" w:hAnsiTheme="minorHAnsi" w:cstheme="minorHAnsi"/>
        </w:rPr>
      </w:pPr>
      <w:r w:rsidRPr="00DA5613">
        <w:rPr>
          <w:rFonts w:asciiTheme="minorHAnsi" w:hAnsiTheme="minorHAnsi" w:cstheme="minorHAnsi"/>
        </w:rPr>
        <w:t xml:space="preserve">Unfortunately, </w:t>
      </w:r>
      <w:r w:rsidR="00C35822" w:rsidRPr="00DA5613">
        <w:rPr>
          <w:rFonts w:asciiTheme="minorHAnsi" w:hAnsiTheme="minorHAnsi" w:cstheme="minorHAnsi"/>
        </w:rPr>
        <w:t>what began as a</w:t>
      </w:r>
      <w:r w:rsidR="00AA17D0" w:rsidRPr="00DA5613">
        <w:rPr>
          <w:rFonts w:asciiTheme="minorHAnsi" w:hAnsiTheme="minorHAnsi" w:cstheme="minorHAnsi"/>
        </w:rPr>
        <w:t xml:space="preserve"> </w:t>
      </w:r>
      <w:r w:rsidR="00C35822" w:rsidRPr="00DA5613">
        <w:rPr>
          <w:rFonts w:asciiTheme="minorHAnsi" w:hAnsiTheme="minorHAnsi" w:cstheme="minorHAnsi"/>
        </w:rPr>
        <w:t xml:space="preserve">public health measure has escalated into a </w:t>
      </w:r>
      <w:r w:rsidR="002039D6" w:rsidRPr="00DA5613">
        <w:rPr>
          <w:rFonts w:asciiTheme="minorHAnsi" w:hAnsiTheme="minorHAnsi" w:cstheme="minorHAnsi"/>
        </w:rPr>
        <w:t xml:space="preserve">political </w:t>
      </w:r>
      <w:r w:rsidR="00AA17D0" w:rsidRPr="00DA5613">
        <w:rPr>
          <w:rFonts w:asciiTheme="minorHAnsi" w:hAnsiTheme="minorHAnsi" w:cstheme="minorHAnsi"/>
        </w:rPr>
        <w:t>debate about the boundaries of</w:t>
      </w:r>
      <w:r w:rsidR="002039D6" w:rsidRPr="00DA5613">
        <w:rPr>
          <w:rFonts w:asciiTheme="minorHAnsi" w:hAnsiTheme="minorHAnsi" w:cstheme="minorHAnsi"/>
        </w:rPr>
        <w:t xml:space="preserve"> individual freedom and liberty. </w:t>
      </w:r>
      <w:r w:rsidR="00781C9D">
        <w:rPr>
          <w:rFonts w:asciiTheme="minorHAnsi" w:hAnsiTheme="minorHAnsi" w:cstheme="minorHAnsi"/>
        </w:rPr>
        <w:t xml:space="preserve"> </w:t>
      </w:r>
      <w:r w:rsidR="002E1179" w:rsidRPr="00DA5613">
        <w:rPr>
          <w:rFonts w:asciiTheme="minorHAnsi" w:hAnsiTheme="minorHAnsi" w:cstheme="minorHAnsi"/>
          <w:i/>
          <w:iCs/>
        </w:rPr>
        <w:t>See</w:t>
      </w:r>
      <w:r w:rsidR="002E1179" w:rsidRPr="00DA5613">
        <w:rPr>
          <w:rFonts w:asciiTheme="minorHAnsi" w:hAnsiTheme="minorHAnsi" w:cstheme="minorHAnsi"/>
        </w:rPr>
        <w:t xml:space="preserve"> Ex. </w:t>
      </w:r>
      <w:r w:rsidR="00756431">
        <w:rPr>
          <w:rFonts w:asciiTheme="minorHAnsi" w:hAnsiTheme="minorHAnsi" w:cstheme="minorHAnsi"/>
        </w:rPr>
        <w:t>138</w:t>
      </w:r>
      <w:r w:rsidR="002E1179" w:rsidRPr="00DA5613">
        <w:rPr>
          <w:rFonts w:asciiTheme="minorHAnsi" w:hAnsiTheme="minorHAnsi" w:cstheme="minorHAnsi"/>
        </w:rPr>
        <w:t xml:space="preserve"> (Defendant Paxton’s Tweet on August 20, 2021 at 4:56 PM) (“Recent SCOTX decision is NOT a mask-mandate loss. </w:t>
      </w:r>
      <w:r w:rsidR="00781C9D">
        <w:rPr>
          <w:rFonts w:asciiTheme="minorHAnsi" w:hAnsiTheme="minorHAnsi" w:cstheme="minorHAnsi"/>
        </w:rPr>
        <w:t xml:space="preserve"> </w:t>
      </w:r>
      <w:r w:rsidR="002E1179" w:rsidRPr="00DA5613">
        <w:rPr>
          <w:rFonts w:asciiTheme="minorHAnsi" w:hAnsiTheme="minorHAnsi" w:cstheme="minorHAnsi"/>
        </w:rPr>
        <w:t xml:space="preserve">Not a loss for freedom-loving Texans or the Rule of Law.”); Ex. </w:t>
      </w:r>
      <w:r w:rsidR="00756431">
        <w:rPr>
          <w:rFonts w:asciiTheme="minorHAnsi" w:hAnsiTheme="minorHAnsi" w:cstheme="minorHAnsi"/>
        </w:rPr>
        <w:t>142</w:t>
      </w:r>
      <w:r w:rsidR="002E1179" w:rsidRPr="00DA5613">
        <w:rPr>
          <w:rFonts w:asciiTheme="minorHAnsi" w:hAnsiTheme="minorHAnsi" w:cstheme="minorHAnsi"/>
        </w:rPr>
        <w:t xml:space="preserve"> (Defendant Paxton’s Tweet on August 26, 2021 at 12:38 PM) (“BIG WIN FOR LAW &amp; LIBERTY! @GregAbbott_TX’s ban on mask mandates is clear</w:t>
      </w:r>
      <w:r w:rsidR="00F453A5">
        <w:rPr>
          <w:rFonts w:asciiTheme="minorHAnsi" w:hAnsiTheme="minorHAnsi" w:cstheme="minorHAnsi"/>
        </w:rPr>
        <w:t xml:space="preserve">.  </w:t>
      </w:r>
      <w:r w:rsidR="002E1179" w:rsidRPr="00DA5613">
        <w:rPr>
          <w:rFonts w:asciiTheme="minorHAnsi" w:hAnsiTheme="minorHAnsi" w:cstheme="minorHAnsi"/>
        </w:rPr>
        <w:t>Dem local govts didn’t care</w:t>
      </w:r>
      <w:r w:rsidR="00F453A5">
        <w:rPr>
          <w:rFonts w:asciiTheme="minorHAnsi" w:hAnsiTheme="minorHAnsi" w:cstheme="minorHAnsi"/>
        </w:rPr>
        <w:t xml:space="preserve">.  </w:t>
      </w:r>
      <w:r w:rsidR="00781C9D">
        <w:rPr>
          <w:rFonts w:asciiTheme="minorHAnsi" w:hAnsiTheme="minorHAnsi" w:cstheme="minorHAnsi"/>
        </w:rPr>
        <w:t xml:space="preserve"> </w:t>
      </w:r>
      <w:r w:rsidR="002E1179" w:rsidRPr="00DA5613">
        <w:rPr>
          <w:rFonts w:asciiTheme="minorHAnsi" w:hAnsiTheme="minorHAnsi" w:cstheme="minorHAnsi"/>
        </w:rPr>
        <w:t xml:space="preserve">So I sued them. </w:t>
      </w:r>
      <w:r w:rsidR="00781C9D">
        <w:rPr>
          <w:rFonts w:asciiTheme="minorHAnsi" w:hAnsiTheme="minorHAnsi" w:cstheme="minorHAnsi"/>
        </w:rPr>
        <w:t xml:space="preserve"> </w:t>
      </w:r>
      <w:r w:rsidR="002E1179" w:rsidRPr="00DA5613">
        <w:rPr>
          <w:rFonts w:asciiTheme="minorHAnsi" w:hAnsiTheme="minorHAnsi" w:cstheme="minorHAnsi"/>
        </w:rPr>
        <w:t xml:space="preserve">Dem judges sided with local D friends. </w:t>
      </w:r>
      <w:r w:rsidR="00781C9D">
        <w:rPr>
          <w:rFonts w:asciiTheme="minorHAnsi" w:hAnsiTheme="minorHAnsi" w:cstheme="minorHAnsi"/>
        </w:rPr>
        <w:t xml:space="preserve"> </w:t>
      </w:r>
      <w:r w:rsidR="002E1179" w:rsidRPr="00DA5613">
        <w:rPr>
          <w:rFonts w:asciiTheme="minorHAnsi" w:hAnsiTheme="minorHAnsi" w:cstheme="minorHAnsi"/>
        </w:rPr>
        <w:t xml:space="preserve">SCOTX just ruled: </w:t>
      </w:r>
      <w:r w:rsidR="00781C9D">
        <w:rPr>
          <w:rFonts w:asciiTheme="minorHAnsi" w:hAnsiTheme="minorHAnsi" w:cstheme="minorHAnsi"/>
        </w:rPr>
        <w:t xml:space="preserve"> </w:t>
      </w:r>
      <w:r w:rsidR="002E1179" w:rsidRPr="00DA5613">
        <w:rPr>
          <w:rFonts w:asciiTheme="minorHAnsi" w:hAnsiTheme="minorHAnsi" w:cstheme="minorHAnsi"/>
        </w:rPr>
        <w:t>The Gov’s exec order stands</w:t>
      </w:r>
      <w:r w:rsidR="00F453A5">
        <w:rPr>
          <w:rFonts w:asciiTheme="minorHAnsi" w:hAnsiTheme="minorHAnsi" w:cstheme="minorHAnsi"/>
        </w:rPr>
        <w:t xml:space="preserve">.  </w:t>
      </w:r>
      <w:r w:rsidR="002E1179" w:rsidRPr="00DA5613">
        <w:rPr>
          <w:rFonts w:asciiTheme="minorHAnsi" w:hAnsiTheme="minorHAnsi" w:cstheme="minorHAnsi"/>
        </w:rPr>
        <w:t xml:space="preserve">ALL public entities must comply—or be sued and lose over and over again.”). </w:t>
      </w:r>
    </w:p>
    <w:p w14:paraId="6097F8DF" w14:textId="72B43F96" w:rsidR="00D24A72" w:rsidRPr="00DA5613" w:rsidRDefault="00AA17D0" w:rsidP="00590AE0">
      <w:pPr>
        <w:spacing w:line="480" w:lineRule="auto"/>
        <w:ind w:firstLine="720"/>
        <w:rPr>
          <w:rFonts w:asciiTheme="minorHAnsi" w:hAnsiTheme="minorHAnsi" w:cstheme="minorHAnsi"/>
        </w:rPr>
      </w:pPr>
      <w:r w:rsidRPr="00DA5613">
        <w:rPr>
          <w:rFonts w:asciiTheme="minorHAnsi" w:hAnsiTheme="minorHAnsi" w:cstheme="minorHAnsi"/>
        </w:rPr>
        <w:t xml:space="preserve">Another difference between the current and prior school year is that last year, </w:t>
      </w:r>
      <w:r w:rsidR="00D24A72" w:rsidRPr="00DA5613">
        <w:rPr>
          <w:rFonts w:asciiTheme="minorHAnsi" w:hAnsiTheme="minorHAnsi" w:cstheme="minorHAnsi"/>
        </w:rPr>
        <w:t>school districts offered virtual instruction for various periods</w:t>
      </w:r>
      <w:r w:rsidR="00CD090D" w:rsidRPr="00DA5613">
        <w:rPr>
          <w:rFonts w:asciiTheme="minorHAnsi" w:hAnsiTheme="minorHAnsi" w:cstheme="minorHAnsi"/>
        </w:rPr>
        <w:t>,</w:t>
      </w:r>
      <w:r w:rsidRPr="00DA5613">
        <w:rPr>
          <w:rFonts w:asciiTheme="minorHAnsi" w:hAnsiTheme="minorHAnsi" w:cstheme="minorHAnsi"/>
        </w:rPr>
        <w:t xml:space="preserve"> which was effective in reducing overall transmission rates</w:t>
      </w:r>
      <w:r w:rsidR="00D24A72" w:rsidRPr="00DA5613">
        <w:rPr>
          <w:rFonts w:asciiTheme="minorHAnsi" w:hAnsiTheme="minorHAnsi" w:cstheme="minorHAnsi"/>
        </w:rPr>
        <w:t xml:space="preserve">. </w:t>
      </w:r>
      <w:r w:rsidR="00781C9D">
        <w:rPr>
          <w:rFonts w:asciiTheme="minorHAnsi" w:hAnsiTheme="minorHAnsi" w:cstheme="minorHAnsi"/>
        </w:rPr>
        <w:t xml:space="preserve"> </w:t>
      </w:r>
      <w:r w:rsidR="00D24A72" w:rsidRPr="00DA5613">
        <w:rPr>
          <w:rFonts w:asciiTheme="minorHAnsi" w:hAnsiTheme="minorHAnsi" w:cstheme="minorHAnsi"/>
        </w:rPr>
        <w:t>But after the conclusion of the</w:t>
      </w:r>
      <w:r w:rsidRPr="00DA5613">
        <w:rPr>
          <w:rFonts w:asciiTheme="minorHAnsi" w:hAnsiTheme="minorHAnsi" w:cstheme="minorHAnsi"/>
        </w:rPr>
        <w:t xml:space="preserve"> 2020-2021</w:t>
      </w:r>
      <w:r w:rsidR="00D24A72" w:rsidRPr="00DA5613">
        <w:rPr>
          <w:rFonts w:asciiTheme="minorHAnsi" w:hAnsiTheme="minorHAnsi" w:cstheme="minorHAnsi"/>
        </w:rPr>
        <w:t xml:space="preserve"> school year, TEA announced that spring 2021 State of Texas Assessments of Academic Readiness (STAAR) results had significantly decreased </w:t>
      </w:r>
      <w:r w:rsidR="00CD090D" w:rsidRPr="00DA5613">
        <w:rPr>
          <w:rFonts w:asciiTheme="minorHAnsi" w:hAnsiTheme="minorHAnsi" w:cstheme="minorHAnsi"/>
        </w:rPr>
        <w:t xml:space="preserve">because </w:t>
      </w:r>
      <w:r w:rsidR="00D24A72" w:rsidRPr="00DA5613">
        <w:rPr>
          <w:rFonts w:asciiTheme="minorHAnsi" w:hAnsiTheme="minorHAnsi" w:cstheme="minorHAnsi"/>
        </w:rPr>
        <w:t xml:space="preserve">of virtual instruction. </w:t>
      </w:r>
      <w:r w:rsidR="00781C9D">
        <w:rPr>
          <w:rFonts w:asciiTheme="minorHAnsi" w:hAnsiTheme="minorHAnsi" w:cstheme="minorHAnsi"/>
        </w:rPr>
        <w:t xml:space="preserve"> </w:t>
      </w:r>
      <w:r w:rsidR="00D24A72" w:rsidRPr="00DA5613">
        <w:rPr>
          <w:rFonts w:asciiTheme="minorHAnsi" w:hAnsiTheme="minorHAnsi" w:cstheme="minorHAnsi"/>
        </w:rPr>
        <w:t xml:space="preserve">Ex. </w:t>
      </w:r>
      <w:r w:rsidR="00756431">
        <w:rPr>
          <w:rFonts w:asciiTheme="minorHAnsi" w:hAnsiTheme="minorHAnsi" w:cstheme="minorHAnsi"/>
        </w:rPr>
        <w:t>163</w:t>
      </w:r>
      <w:r w:rsidR="00D24A72" w:rsidRPr="00DA5613">
        <w:rPr>
          <w:rFonts w:asciiTheme="minorHAnsi" w:hAnsiTheme="minorHAnsi" w:cstheme="minorHAnsi"/>
        </w:rPr>
        <w:t xml:space="preserve"> (TEA Releases Spring 2021 STAAR Grades)</w:t>
      </w:r>
      <w:r w:rsidR="008F6014" w:rsidRPr="00DA5613">
        <w:rPr>
          <w:rFonts w:asciiTheme="minorHAnsi" w:hAnsiTheme="minorHAnsi" w:cstheme="minorHAnsi"/>
        </w:rPr>
        <w:t xml:space="preserve">. </w:t>
      </w:r>
      <w:r w:rsidR="00781C9D">
        <w:rPr>
          <w:rFonts w:asciiTheme="minorHAnsi" w:hAnsiTheme="minorHAnsi" w:cstheme="minorHAnsi"/>
        </w:rPr>
        <w:t xml:space="preserve"> </w:t>
      </w:r>
      <w:r w:rsidR="008F6014" w:rsidRPr="00DA5613">
        <w:rPr>
          <w:rFonts w:asciiTheme="minorHAnsi" w:hAnsiTheme="minorHAnsi" w:cstheme="minorHAnsi"/>
        </w:rPr>
        <w:t>As a result, the State has prioritized offering in-person instruction this year</w:t>
      </w:r>
      <w:r w:rsidR="00CD090D" w:rsidRPr="00DA5613">
        <w:rPr>
          <w:rFonts w:asciiTheme="minorHAnsi" w:hAnsiTheme="minorHAnsi" w:cstheme="minorHAnsi"/>
        </w:rPr>
        <w:t>—though without masks</w:t>
      </w:r>
      <w:r w:rsidR="008F6014" w:rsidRPr="00DA5613">
        <w:rPr>
          <w:rFonts w:asciiTheme="minorHAnsi" w:hAnsiTheme="minorHAnsi" w:cstheme="minorHAnsi"/>
        </w:rPr>
        <w:t xml:space="preserve">. </w:t>
      </w:r>
      <w:r w:rsidR="00781C9D">
        <w:rPr>
          <w:rFonts w:asciiTheme="minorHAnsi" w:hAnsiTheme="minorHAnsi" w:cstheme="minorHAnsi"/>
        </w:rPr>
        <w:t xml:space="preserve"> </w:t>
      </w:r>
      <w:r w:rsidR="008F6014" w:rsidRPr="00254359">
        <w:rPr>
          <w:rFonts w:asciiTheme="minorHAnsi" w:hAnsiTheme="minorHAnsi" w:cstheme="minorHAnsi"/>
          <w:i/>
          <w:iCs/>
        </w:rPr>
        <w:t>See</w:t>
      </w:r>
      <w:r w:rsidR="008F6014" w:rsidRPr="00DA5613">
        <w:rPr>
          <w:rFonts w:asciiTheme="minorHAnsi" w:hAnsiTheme="minorHAnsi" w:cstheme="minorHAnsi"/>
        </w:rPr>
        <w:t xml:space="preserve"> </w:t>
      </w:r>
      <w:r w:rsidR="00EC0F84" w:rsidRPr="00DA5613">
        <w:rPr>
          <w:rFonts w:asciiTheme="minorHAnsi" w:hAnsiTheme="minorHAnsi" w:cstheme="minorHAnsi"/>
        </w:rPr>
        <w:t xml:space="preserve">Ex. </w:t>
      </w:r>
      <w:r w:rsidR="00756431">
        <w:rPr>
          <w:rFonts w:asciiTheme="minorHAnsi" w:hAnsiTheme="minorHAnsi" w:cstheme="minorHAnsi"/>
        </w:rPr>
        <w:t>159</w:t>
      </w:r>
      <w:r w:rsidR="00EC0F84">
        <w:rPr>
          <w:rFonts w:asciiTheme="minorHAnsi" w:hAnsiTheme="minorHAnsi" w:cstheme="minorHAnsi"/>
        </w:rPr>
        <w:t xml:space="preserve">, </w:t>
      </w:r>
      <w:r w:rsidR="00C03CB0" w:rsidRPr="00DA5613">
        <w:rPr>
          <w:rFonts w:asciiTheme="minorHAnsi" w:hAnsiTheme="minorHAnsi" w:cstheme="minorHAnsi"/>
        </w:rPr>
        <w:t>Megan Aghazadian Depo</w:t>
      </w:r>
      <w:r w:rsidR="00EC0F84">
        <w:rPr>
          <w:rFonts w:asciiTheme="minorHAnsi" w:hAnsiTheme="minorHAnsi" w:cstheme="minorHAnsi"/>
        </w:rPr>
        <w:t>.</w:t>
      </w:r>
      <w:r w:rsidR="00C03CB0" w:rsidRPr="00DA5613">
        <w:rPr>
          <w:rFonts w:asciiTheme="minorHAnsi" w:hAnsiTheme="minorHAnsi" w:cstheme="minorHAnsi"/>
        </w:rPr>
        <w:t xml:space="preserve"> at 11:21-12:12. </w:t>
      </w:r>
    </w:p>
    <w:p w14:paraId="3FDBD341" w14:textId="7480D789" w:rsidR="00C03CB0" w:rsidRPr="00DA5613" w:rsidRDefault="00CD090D" w:rsidP="00590AE0">
      <w:pPr>
        <w:spacing w:line="480" w:lineRule="auto"/>
        <w:ind w:firstLine="720"/>
        <w:rPr>
          <w:rFonts w:asciiTheme="minorHAnsi" w:hAnsiTheme="minorHAnsi" w:cstheme="minorHAnsi"/>
        </w:rPr>
      </w:pPr>
      <w:r w:rsidRPr="00DA5613">
        <w:rPr>
          <w:rFonts w:asciiTheme="minorHAnsi" w:hAnsiTheme="minorHAnsi" w:cstheme="minorHAnsi"/>
        </w:rPr>
        <w:t>A</w:t>
      </w:r>
      <w:r w:rsidR="008F631F" w:rsidRPr="00DA5613">
        <w:rPr>
          <w:rFonts w:asciiTheme="minorHAnsi" w:hAnsiTheme="minorHAnsi" w:cstheme="minorHAnsi"/>
        </w:rPr>
        <w:t xml:space="preserve"> t</w:t>
      </w:r>
      <w:r w:rsidR="00C03CB0" w:rsidRPr="00DA5613">
        <w:rPr>
          <w:rFonts w:asciiTheme="minorHAnsi" w:hAnsiTheme="minorHAnsi" w:cstheme="minorHAnsi"/>
        </w:rPr>
        <w:t>hird</w:t>
      </w:r>
      <w:r w:rsidR="008F6014" w:rsidRPr="00DA5613">
        <w:rPr>
          <w:rFonts w:asciiTheme="minorHAnsi" w:hAnsiTheme="minorHAnsi" w:cstheme="minorHAnsi"/>
        </w:rPr>
        <w:t xml:space="preserve"> difference</w:t>
      </w:r>
      <w:r w:rsidRPr="00DA5613">
        <w:rPr>
          <w:rFonts w:asciiTheme="minorHAnsi" w:hAnsiTheme="minorHAnsi" w:cstheme="minorHAnsi"/>
        </w:rPr>
        <w:t xml:space="preserve"> is</w:t>
      </w:r>
      <w:r w:rsidR="008F631F" w:rsidRPr="00DA5613">
        <w:rPr>
          <w:rFonts w:asciiTheme="minorHAnsi" w:hAnsiTheme="minorHAnsi" w:cstheme="minorHAnsi"/>
        </w:rPr>
        <w:t xml:space="preserve"> the Delta variant</w:t>
      </w:r>
      <w:r w:rsidRPr="00DA5613">
        <w:rPr>
          <w:rFonts w:asciiTheme="minorHAnsi" w:hAnsiTheme="minorHAnsi" w:cstheme="minorHAnsi"/>
        </w:rPr>
        <w:t xml:space="preserve">.  </w:t>
      </w:r>
      <w:r w:rsidR="008F631F" w:rsidRPr="00DA5613">
        <w:rPr>
          <w:rFonts w:asciiTheme="minorHAnsi" w:hAnsiTheme="minorHAnsi" w:cstheme="minorHAnsi"/>
        </w:rPr>
        <w:t xml:space="preserve">Ex. </w:t>
      </w:r>
      <w:r w:rsidR="00C1423B">
        <w:rPr>
          <w:rFonts w:asciiTheme="minorHAnsi" w:hAnsiTheme="minorHAnsi" w:cstheme="minorHAnsi"/>
        </w:rPr>
        <w:t>18</w:t>
      </w:r>
      <w:r w:rsidR="009A6217">
        <w:rPr>
          <w:rFonts w:asciiTheme="minorHAnsi" w:hAnsiTheme="minorHAnsi" w:cstheme="minorHAnsi"/>
        </w:rPr>
        <w:t>,</w:t>
      </w:r>
      <w:r w:rsidR="008F631F" w:rsidRPr="00DA5613">
        <w:rPr>
          <w:rFonts w:asciiTheme="minorHAnsi" w:hAnsiTheme="minorHAnsi" w:cstheme="minorHAnsi"/>
        </w:rPr>
        <w:t xml:space="preserve"> </w:t>
      </w:r>
      <w:r w:rsidR="00F453A5">
        <w:rPr>
          <w:rFonts w:asciiTheme="minorHAnsi" w:hAnsiTheme="minorHAnsi" w:cstheme="minorHAnsi"/>
        </w:rPr>
        <w:t>¶</w:t>
      </w:r>
      <w:r w:rsidR="00510ECD" w:rsidRPr="00DA5613">
        <w:rPr>
          <w:rFonts w:asciiTheme="minorHAnsi" w:hAnsiTheme="minorHAnsi" w:cstheme="minorHAnsi"/>
        </w:rPr>
        <w:t>¶ 24-29</w:t>
      </w:r>
      <w:r w:rsidR="008F631F" w:rsidRPr="00DA5613">
        <w:rPr>
          <w:rFonts w:asciiTheme="minorHAnsi" w:hAnsiTheme="minorHAnsi" w:cstheme="minorHAnsi"/>
        </w:rPr>
        <w:t xml:space="preserve"> (Dr. Ben Greenberg Expert Report). </w:t>
      </w:r>
      <w:r w:rsidR="00781C9D">
        <w:rPr>
          <w:rFonts w:asciiTheme="minorHAnsi" w:hAnsiTheme="minorHAnsi" w:cstheme="minorHAnsi"/>
        </w:rPr>
        <w:t xml:space="preserve"> </w:t>
      </w:r>
      <w:r w:rsidR="00510ECD" w:rsidRPr="00DA5613">
        <w:rPr>
          <w:rFonts w:asciiTheme="minorHAnsi" w:hAnsiTheme="minorHAnsi" w:cstheme="minorHAnsi"/>
        </w:rPr>
        <w:t>The Delta variant infects children at a higher rate than previous variants and has caused higher infection rates among students than the Alpha variant</w:t>
      </w:r>
      <w:r w:rsidRPr="00DA5613">
        <w:rPr>
          <w:rFonts w:asciiTheme="minorHAnsi" w:hAnsiTheme="minorHAnsi" w:cstheme="minorHAnsi"/>
        </w:rPr>
        <w:t xml:space="preserve"> did</w:t>
      </w:r>
      <w:r w:rsidR="00510ECD" w:rsidRPr="00DA5613">
        <w:rPr>
          <w:rFonts w:asciiTheme="minorHAnsi" w:hAnsiTheme="minorHAnsi" w:cstheme="minorHAnsi"/>
        </w:rPr>
        <w:t xml:space="preserve"> during the previous school year</w:t>
      </w:r>
      <w:r w:rsidR="008229BC">
        <w:rPr>
          <w:rFonts w:asciiTheme="minorHAnsi" w:hAnsiTheme="minorHAnsi" w:cstheme="minorHAnsi"/>
        </w:rPr>
        <w:t xml:space="preserve">.  </w:t>
      </w:r>
      <w:r w:rsidR="00510ECD" w:rsidRPr="00DA5613">
        <w:rPr>
          <w:rFonts w:asciiTheme="minorHAnsi" w:hAnsiTheme="minorHAnsi" w:cstheme="minorHAnsi"/>
        </w:rPr>
        <w:t xml:space="preserve">Ex. </w:t>
      </w:r>
      <w:r w:rsidR="009A6217">
        <w:rPr>
          <w:rFonts w:asciiTheme="minorHAnsi" w:hAnsiTheme="minorHAnsi" w:cstheme="minorHAnsi"/>
        </w:rPr>
        <w:t>17,</w:t>
      </w:r>
      <w:r w:rsidR="00510ECD" w:rsidRPr="00DA5613">
        <w:rPr>
          <w:rFonts w:asciiTheme="minorHAnsi" w:hAnsiTheme="minorHAnsi" w:cstheme="minorHAnsi"/>
        </w:rPr>
        <w:t xml:space="preserve"> </w:t>
      </w:r>
      <w:r w:rsidR="00F453A5">
        <w:rPr>
          <w:rFonts w:asciiTheme="minorHAnsi" w:hAnsiTheme="minorHAnsi" w:cstheme="minorHAnsi"/>
        </w:rPr>
        <w:t>¶</w:t>
      </w:r>
      <w:r w:rsidR="00510ECD" w:rsidRPr="00DA5613">
        <w:rPr>
          <w:rFonts w:asciiTheme="minorHAnsi" w:hAnsiTheme="minorHAnsi" w:cstheme="minorHAnsi"/>
        </w:rPr>
        <w:t xml:space="preserve"> 21 (Dr. Edward Septimus Expert Report). </w:t>
      </w:r>
      <w:r w:rsidR="00781C9D">
        <w:rPr>
          <w:rFonts w:asciiTheme="minorHAnsi" w:hAnsiTheme="minorHAnsi" w:cstheme="minorHAnsi"/>
        </w:rPr>
        <w:t xml:space="preserve"> </w:t>
      </w:r>
      <w:r w:rsidR="00510ECD" w:rsidRPr="00DA5613">
        <w:rPr>
          <w:rFonts w:asciiTheme="minorHAnsi" w:hAnsiTheme="minorHAnsi" w:cstheme="minorHAnsi"/>
        </w:rPr>
        <w:t>There is also growing evidence that the Delta variant causes more serious illness and increased fatality rates</w:t>
      </w:r>
      <w:r w:rsidR="008229BC">
        <w:rPr>
          <w:rFonts w:asciiTheme="minorHAnsi" w:hAnsiTheme="minorHAnsi" w:cstheme="minorHAnsi"/>
        </w:rPr>
        <w:t xml:space="preserve">.  </w:t>
      </w:r>
      <w:r w:rsidR="00510ECD" w:rsidRPr="00DA5613">
        <w:rPr>
          <w:rFonts w:asciiTheme="minorHAnsi" w:hAnsiTheme="minorHAnsi" w:cstheme="minorHAnsi"/>
          <w:i/>
          <w:iCs/>
        </w:rPr>
        <w:t>Id</w:t>
      </w:r>
      <w:r w:rsidR="00510ECD" w:rsidRPr="00DA5613">
        <w:rPr>
          <w:rFonts w:asciiTheme="minorHAnsi" w:hAnsiTheme="minorHAnsi" w:cstheme="minorHAnsi"/>
        </w:rPr>
        <w:t>.</w:t>
      </w:r>
      <w:r w:rsidR="009A6217">
        <w:rPr>
          <w:rFonts w:asciiTheme="minorHAnsi" w:hAnsiTheme="minorHAnsi" w:cstheme="minorHAnsi"/>
        </w:rPr>
        <w:t>,</w:t>
      </w:r>
      <w:r w:rsidR="00510ECD" w:rsidRPr="00DA5613">
        <w:rPr>
          <w:rFonts w:asciiTheme="minorHAnsi" w:hAnsiTheme="minorHAnsi" w:cstheme="minorHAnsi"/>
        </w:rPr>
        <w:t xml:space="preserve"> </w:t>
      </w:r>
      <w:r w:rsidR="00F453A5">
        <w:rPr>
          <w:rFonts w:asciiTheme="minorHAnsi" w:hAnsiTheme="minorHAnsi" w:cstheme="minorHAnsi"/>
        </w:rPr>
        <w:t>¶</w:t>
      </w:r>
      <w:r w:rsidR="00510ECD" w:rsidRPr="00DA5613">
        <w:rPr>
          <w:rFonts w:asciiTheme="minorHAnsi" w:hAnsiTheme="minorHAnsi" w:cstheme="minorHAnsi"/>
        </w:rPr>
        <w:t xml:space="preserve">¶ 22-23. </w:t>
      </w:r>
      <w:r w:rsidRPr="00DA5613">
        <w:rPr>
          <w:rFonts w:asciiTheme="minorHAnsi" w:hAnsiTheme="minorHAnsi" w:cstheme="minorHAnsi"/>
        </w:rPr>
        <w:t xml:space="preserve"> Although vaccines offer significant protection against the Delta variant, children under 12 still cannot be vaccinated.  </w:t>
      </w:r>
      <w:r w:rsidR="009D3ABD">
        <w:t xml:space="preserve">Ex. </w:t>
      </w:r>
      <w:r w:rsidR="008512C1">
        <w:t>17</w:t>
      </w:r>
      <w:r w:rsidR="009A6217">
        <w:t>,</w:t>
      </w:r>
      <w:r w:rsidR="009D3ABD">
        <w:t xml:space="preserve"> ¶ 18 (Dr. Edward Septimus Affidavit).</w:t>
      </w:r>
    </w:p>
    <w:p w14:paraId="707519A6" w14:textId="0991B34E" w:rsidR="009425DC" w:rsidRPr="00DA5613" w:rsidRDefault="002039D6" w:rsidP="00590AE0">
      <w:pPr>
        <w:spacing w:line="480" w:lineRule="auto"/>
        <w:ind w:firstLine="720"/>
        <w:rPr>
          <w:rFonts w:asciiTheme="minorHAnsi" w:hAnsiTheme="minorHAnsi" w:cstheme="minorHAnsi"/>
        </w:rPr>
      </w:pPr>
      <w:r w:rsidRPr="00DA5613">
        <w:rPr>
          <w:rFonts w:asciiTheme="minorHAnsi" w:hAnsiTheme="minorHAnsi" w:cstheme="minorHAnsi"/>
        </w:rPr>
        <w:t xml:space="preserve">Yet despite the evidence of rising pediatric cases and </w:t>
      </w:r>
      <w:r w:rsidR="008F6014" w:rsidRPr="00DA5613">
        <w:rPr>
          <w:rFonts w:asciiTheme="minorHAnsi" w:hAnsiTheme="minorHAnsi" w:cstheme="minorHAnsi"/>
        </w:rPr>
        <w:t xml:space="preserve">the omnipotence of the </w:t>
      </w:r>
      <w:r w:rsidRPr="00DA5613">
        <w:rPr>
          <w:rFonts w:asciiTheme="minorHAnsi" w:hAnsiTheme="minorHAnsi" w:cstheme="minorHAnsi"/>
        </w:rPr>
        <w:t>Delta variant, school</w:t>
      </w:r>
      <w:r w:rsidR="008F6014" w:rsidRPr="00DA5613">
        <w:rPr>
          <w:rFonts w:asciiTheme="minorHAnsi" w:hAnsiTheme="minorHAnsi" w:cstheme="minorHAnsi"/>
        </w:rPr>
        <w:t xml:space="preserve"> districts</w:t>
      </w:r>
      <w:r w:rsidRPr="00DA5613">
        <w:rPr>
          <w:rFonts w:asciiTheme="minorHAnsi" w:hAnsiTheme="minorHAnsi" w:cstheme="minorHAnsi"/>
        </w:rPr>
        <w:t xml:space="preserve"> are prohibited from</w:t>
      </w:r>
      <w:r w:rsidR="008F6014" w:rsidRPr="00DA5613">
        <w:rPr>
          <w:rFonts w:asciiTheme="minorHAnsi" w:hAnsiTheme="minorHAnsi" w:cstheme="minorHAnsi"/>
        </w:rPr>
        <w:t xml:space="preserve"> even</w:t>
      </w:r>
      <w:r w:rsidRPr="00DA5613">
        <w:rPr>
          <w:rFonts w:asciiTheme="minorHAnsi" w:hAnsiTheme="minorHAnsi" w:cstheme="minorHAnsi"/>
        </w:rPr>
        <w:t xml:space="preserve"> </w:t>
      </w:r>
      <w:r w:rsidRPr="00DA5613">
        <w:rPr>
          <w:rFonts w:asciiTheme="minorHAnsi" w:hAnsiTheme="minorHAnsi" w:cstheme="minorHAnsi"/>
          <w:i/>
          <w:iCs/>
        </w:rPr>
        <w:t>considering</w:t>
      </w:r>
      <w:r w:rsidRPr="00DA5613">
        <w:rPr>
          <w:rFonts w:asciiTheme="minorHAnsi" w:hAnsiTheme="minorHAnsi" w:cstheme="minorHAnsi"/>
        </w:rPr>
        <w:t xml:space="preserve"> masking requirements </w:t>
      </w:r>
      <w:r w:rsidR="008F6014" w:rsidRPr="00DA5613">
        <w:rPr>
          <w:rFonts w:asciiTheme="minorHAnsi" w:hAnsiTheme="minorHAnsi" w:cstheme="minorHAnsi"/>
        </w:rPr>
        <w:t>as a basic mitigation strategy in preventing COVID-19 outbreaks on their campuses that</w:t>
      </w:r>
      <w:r w:rsidR="00EA49DE" w:rsidRPr="00DA5613">
        <w:rPr>
          <w:rFonts w:asciiTheme="minorHAnsi" w:hAnsiTheme="minorHAnsi" w:cstheme="minorHAnsi"/>
        </w:rPr>
        <w:t xml:space="preserve"> could invariably cause the</w:t>
      </w:r>
      <w:r w:rsidR="008F6014" w:rsidRPr="00DA5613">
        <w:rPr>
          <w:rFonts w:asciiTheme="minorHAnsi" w:hAnsiTheme="minorHAnsi" w:cstheme="minorHAnsi"/>
        </w:rPr>
        <w:t>m</w:t>
      </w:r>
      <w:r w:rsidR="00EA49DE" w:rsidRPr="00DA5613">
        <w:rPr>
          <w:rFonts w:asciiTheme="minorHAnsi" w:hAnsiTheme="minorHAnsi" w:cstheme="minorHAnsi"/>
        </w:rPr>
        <w:t xml:space="preserve"> to temporarily shut down</w:t>
      </w:r>
      <w:r w:rsidR="008229BC">
        <w:rPr>
          <w:rFonts w:asciiTheme="minorHAnsi" w:hAnsiTheme="minorHAnsi" w:cstheme="minorHAnsi"/>
        </w:rPr>
        <w:t xml:space="preserve">.  </w:t>
      </w:r>
      <w:r w:rsidR="00EA49DE" w:rsidRPr="00DA5613">
        <w:rPr>
          <w:rFonts w:asciiTheme="minorHAnsi" w:hAnsiTheme="minorHAnsi" w:cstheme="minorHAnsi"/>
        </w:rPr>
        <w:t xml:space="preserve">Indeed, </w:t>
      </w:r>
      <w:r w:rsidR="008F6014" w:rsidRPr="00DA5613">
        <w:rPr>
          <w:rFonts w:asciiTheme="minorHAnsi" w:hAnsiTheme="minorHAnsi" w:cstheme="minorHAnsi"/>
        </w:rPr>
        <w:t xml:space="preserve">since the start of the school year last month, </w:t>
      </w:r>
      <w:r w:rsidR="00EA49DE" w:rsidRPr="00DA5613">
        <w:rPr>
          <w:rFonts w:asciiTheme="minorHAnsi" w:hAnsiTheme="minorHAnsi" w:cstheme="minorHAnsi"/>
        </w:rPr>
        <w:t xml:space="preserve">at least 45 districts in Texas have </w:t>
      </w:r>
      <w:r w:rsidR="008F6014" w:rsidRPr="00DA5613">
        <w:rPr>
          <w:rFonts w:asciiTheme="minorHAnsi" w:hAnsiTheme="minorHAnsi" w:cstheme="minorHAnsi"/>
        </w:rPr>
        <w:t xml:space="preserve">temporarily </w:t>
      </w:r>
      <w:r w:rsidR="00EA49DE" w:rsidRPr="00DA5613">
        <w:rPr>
          <w:rFonts w:asciiTheme="minorHAnsi" w:hAnsiTheme="minorHAnsi" w:cstheme="minorHAnsi"/>
        </w:rPr>
        <w:t>shut down due to COVID-19 outbreaks</w:t>
      </w:r>
      <w:r w:rsidR="008F6014" w:rsidRPr="00DA5613">
        <w:rPr>
          <w:rFonts w:asciiTheme="minorHAnsi" w:hAnsiTheme="minorHAnsi" w:cstheme="minorHAnsi"/>
        </w:rPr>
        <w:t xml:space="preserve"> among students and staff</w:t>
      </w:r>
      <w:r w:rsidR="00EA49DE" w:rsidRPr="00DA5613">
        <w:rPr>
          <w:rFonts w:asciiTheme="minorHAnsi" w:hAnsiTheme="minorHAnsi" w:cstheme="minorHAnsi"/>
        </w:rPr>
        <w:t>.</w:t>
      </w:r>
      <w:r w:rsidR="00EA49DE" w:rsidRPr="00DA5613">
        <w:rPr>
          <w:rStyle w:val="FootnoteReference"/>
          <w:rFonts w:asciiTheme="minorHAnsi" w:hAnsiTheme="minorHAnsi" w:cstheme="minorHAnsi"/>
        </w:rPr>
        <w:footnoteReference w:id="1"/>
      </w:r>
    </w:p>
    <w:p w14:paraId="48259AC3" w14:textId="484BF915" w:rsidR="00193030" w:rsidRPr="00DA5613" w:rsidRDefault="00C8456F" w:rsidP="00590AE0">
      <w:pPr>
        <w:spacing w:line="480" w:lineRule="auto"/>
        <w:ind w:firstLine="720"/>
        <w:rPr>
          <w:rFonts w:asciiTheme="minorHAnsi" w:hAnsiTheme="minorHAnsi" w:cstheme="minorHAnsi"/>
        </w:rPr>
      </w:pPr>
      <w:r w:rsidRPr="00DA5613">
        <w:rPr>
          <w:rFonts w:asciiTheme="minorHAnsi" w:hAnsiTheme="minorHAnsi" w:cstheme="minorHAnsi"/>
        </w:rPr>
        <w:t xml:space="preserve">The State’s </w:t>
      </w:r>
      <w:r w:rsidR="009A275B" w:rsidRPr="00DA5613">
        <w:rPr>
          <w:rFonts w:asciiTheme="minorHAnsi" w:hAnsiTheme="minorHAnsi" w:cstheme="minorHAnsi"/>
        </w:rPr>
        <w:t>position on masking requirements during the 2021-2022 school year runs contrary to the Centers for Disease Control and Prevention’s (“CDC”) Guidance for COVID-19 Prevention in K-12 Schools, updated on August 5, 2021, which “recommends universal indoor masking for all teachers, staff, students, and visitors to K-12 schools, regardless of vaccination status</w:t>
      </w:r>
      <w:r w:rsidR="00DE6B57">
        <w:rPr>
          <w:rFonts w:asciiTheme="minorHAnsi" w:hAnsiTheme="minorHAnsi" w:cstheme="minorHAnsi"/>
        </w:rPr>
        <w:t xml:space="preserve">.”  </w:t>
      </w:r>
      <w:r w:rsidR="009A275B" w:rsidRPr="00DA5613">
        <w:rPr>
          <w:rFonts w:asciiTheme="minorHAnsi" w:hAnsiTheme="minorHAnsi" w:cstheme="minorHAnsi"/>
          <w:i/>
          <w:iCs/>
        </w:rPr>
        <w:t>See</w:t>
      </w:r>
      <w:r w:rsidR="009A275B" w:rsidRPr="00DA5613">
        <w:rPr>
          <w:rFonts w:asciiTheme="minorHAnsi" w:hAnsiTheme="minorHAnsi" w:cstheme="minorHAnsi"/>
        </w:rPr>
        <w:t xml:space="preserve"> Ex. </w:t>
      </w:r>
      <w:r w:rsidR="009A6217">
        <w:rPr>
          <w:rFonts w:asciiTheme="minorHAnsi" w:hAnsiTheme="minorHAnsi" w:cstheme="minorHAnsi"/>
        </w:rPr>
        <w:t>13</w:t>
      </w:r>
      <w:r w:rsidR="009A275B" w:rsidRPr="00DA5613">
        <w:rPr>
          <w:rFonts w:asciiTheme="minorHAnsi" w:hAnsiTheme="minorHAnsi" w:cstheme="minorHAnsi"/>
        </w:rPr>
        <w:t xml:space="preserve"> at 1</w:t>
      </w:r>
      <w:r w:rsidR="008229BC">
        <w:rPr>
          <w:rFonts w:asciiTheme="minorHAnsi" w:hAnsiTheme="minorHAnsi" w:cstheme="minorHAnsi"/>
        </w:rPr>
        <w:t xml:space="preserve">.  </w:t>
      </w:r>
      <w:r w:rsidR="009A275B" w:rsidRPr="00DA5613">
        <w:rPr>
          <w:rFonts w:asciiTheme="minorHAnsi" w:hAnsiTheme="minorHAnsi" w:cstheme="minorHAnsi"/>
        </w:rPr>
        <w:t>A</w:t>
      </w:r>
      <w:r w:rsidR="002C2E04" w:rsidRPr="00DA5613">
        <w:rPr>
          <w:rFonts w:asciiTheme="minorHAnsi" w:hAnsiTheme="minorHAnsi" w:cstheme="minorHAnsi"/>
        </w:rPr>
        <w:t>ccording to the CDC, masking requirements are integral to promoting a safe return to in-person learning this school year, especially due to “the circulating and highly contagious Delta variant</w:t>
      </w:r>
      <w:r w:rsidR="00DE6B57">
        <w:rPr>
          <w:rFonts w:asciiTheme="minorHAnsi" w:hAnsiTheme="minorHAnsi" w:cstheme="minorHAnsi"/>
        </w:rPr>
        <w:t xml:space="preserve">.”  </w:t>
      </w:r>
      <w:r w:rsidR="002C2E04" w:rsidRPr="00DA5613">
        <w:rPr>
          <w:rFonts w:asciiTheme="minorHAnsi" w:hAnsiTheme="minorHAnsi" w:cstheme="minorHAnsi"/>
          <w:i/>
          <w:iCs/>
        </w:rPr>
        <w:t>Id</w:t>
      </w:r>
      <w:r w:rsidR="008229BC">
        <w:rPr>
          <w:rFonts w:asciiTheme="minorHAnsi" w:hAnsiTheme="minorHAnsi" w:cstheme="minorHAnsi"/>
        </w:rPr>
        <w:t xml:space="preserve">.  </w:t>
      </w:r>
      <w:r w:rsidR="00193030" w:rsidRPr="00DA5613">
        <w:rPr>
          <w:rFonts w:asciiTheme="minorHAnsi" w:hAnsiTheme="minorHAnsi" w:cstheme="minorHAnsi"/>
        </w:rPr>
        <w:t xml:space="preserve">In explaining its reason for issuing its updated recommendation, the CDC stated that: </w:t>
      </w:r>
    </w:p>
    <w:p w14:paraId="69C6140A" w14:textId="2A9FB88A" w:rsidR="00193030" w:rsidRPr="00DA5613" w:rsidRDefault="00193030" w:rsidP="009A6217">
      <w:pPr>
        <w:ind w:left="720" w:right="720"/>
        <w:jc w:val="both"/>
        <w:rPr>
          <w:rFonts w:asciiTheme="minorHAnsi" w:hAnsiTheme="minorHAnsi" w:cstheme="minorHAnsi"/>
        </w:rPr>
      </w:pPr>
      <w:r w:rsidRPr="00DA5613">
        <w:rPr>
          <w:rFonts w:asciiTheme="minorHAnsi" w:hAnsiTheme="minorHAnsi" w:cstheme="minorHAnsi"/>
        </w:rPr>
        <w:t>[W]ith COVID-19 cases increasing nationally since mid-June 2021, driven by the B.1.617.2 (Delta) variant of SARS-CoV-2, protection against exposure remains essential in school settings</w:t>
      </w:r>
      <w:r w:rsidR="008229BC">
        <w:rPr>
          <w:rFonts w:asciiTheme="minorHAnsi" w:hAnsiTheme="minorHAnsi" w:cstheme="minorHAnsi"/>
        </w:rPr>
        <w:t xml:space="preserve">.  </w:t>
      </w:r>
      <w:r w:rsidRPr="00DA5613">
        <w:rPr>
          <w:rFonts w:asciiTheme="minorHAnsi" w:hAnsiTheme="minorHAnsi" w:cstheme="minorHAnsi"/>
        </w:rPr>
        <w:t>Because of the highly transmissible nature of this variant, along with the extent of missing of vaccinated and unvaccinated people in schools, the fact that children &lt;12 years of age are not currently eligible for vaccination, and low levels of vaccination among youth ages 12-17, CDC recommends universal indoor masking for all students (age 2 years and older), teachers, staff, and visitors to K-12 schools regardless of vaccination status.</w:t>
      </w:r>
    </w:p>
    <w:p w14:paraId="74E397E7" w14:textId="77777777" w:rsidR="00193030" w:rsidRPr="00DA5613" w:rsidRDefault="00193030" w:rsidP="009A6217">
      <w:pPr>
        <w:jc w:val="both"/>
        <w:rPr>
          <w:rFonts w:asciiTheme="minorHAnsi" w:hAnsiTheme="minorHAnsi" w:cstheme="minorHAnsi"/>
        </w:rPr>
      </w:pPr>
    </w:p>
    <w:p w14:paraId="6F8EB5E8" w14:textId="5C37936A" w:rsidR="002C2E04" w:rsidRPr="00DA5613" w:rsidRDefault="00193030" w:rsidP="00590AE0">
      <w:pPr>
        <w:spacing w:line="480" w:lineRule="auto"/>
        <w:rPr>
          <w:rFonts w:asciiTheme="minorHAnsi" w:hAnsiTheme="minorHAnsi" w:cstheme="minorHAnsi"/>
        </w:rPr>
      </w:pPr>
      <w:r w:rsidRPr="00DA5613">
        <w:rPr>
          <w:rFonts w:asciiTheme="minorHAnsi" w:hAnsiTheme="minorHAnsi" w:cstheme="minorHAnsi"/>
          <w:i/>
          <w:iCs/>
        </w:rPr>
        <w:t>Id</w:t>
      </w:r>
      <w:r w:rsidR="008229BC">
        <w:rPr>
          <w:rFonts w:asciiTheme="minorHAnsi" w:hAnsiTheme="minorHAnsi" w:cstheme="minorHAnsi"/>
        </w:rPr>
        <w:t xml:space="preserve">.  </w:t>
      </w:r>
      <w:r w:rsidRPr="00DA5613">
        <w:rPr>
          <w:rFonts w:asciiTheme="minorHAnsi" w:hAnsiTheme="minorHAnsi" w:cstheme="minorHAnsi"/>
        </w:rPr>
        <w:t xml:space="preserve">In addition to masking requirements, </w:t>
      </w:r>
      <w:r w:rsidR="00CD090D" w:rsidRPr="00DA5613">
        <w:rPr>
          <w:rFonts w:asciiTheme="minorHAnsi" w:hAnsiTheme="minorHAnsi" w:cstheme="minorHAnsi"/>
        </w:rPr>
        <w:t xml:space="preserve">the CDC recommends that </w:t>
      </w:r>
      <w:r w:rsidRPr="00DA5613">
        <w:rPr>
          <w:rFonts w:asciiTheme="minorHAnsi" w:hAnsiTheme="minorHAnsi" w:cstheme="minorHAnsi"/>
        </w:rPr>
        <w:t>schools work with local public health officials to determine additional prevention strategies “by monitoring levels of community transmission (i.e. low, moderate, substantial, or high) and local vaccine coverage, and use of screening testing to detect cases in K-12 schools</w:t>
      </w:r>
      <w:r w:rsidR="00DE6B57">
        <w:rPr>
          <w:rFonts w:asciiTheme="minorHAnsi" w:hAnsiTheme="minorHAnsi" w:cstheme="minorHAnsi"/>
        </w:rPr>
        <w:t xml:space="preserve">.”  </w:t>
      </w:r>
      <w:r w:rsidRPr="00DA5613">
        <w:rPr>
          <w:rFonts w:asciiTheme="minorHAnsi" w:hAnsiTheme="minorHAnsi" w:cstheme="minorHAnsi"/>
          <w:i/>
          <w:iCs/>
        </w:rPr>
        <w:t>Id</w:t>
      </w:r>
      <w:r w:rsidR="008229BC">
        <w:rPr>
          <w:rFonts w:asciiTheme="minorHAnsi" w:hAnsiTheme="minorHAnsi" w:cstheme="minorHAnsi"/>
        </w:rPr>
        <w:t xml:space="preserve">.  </w:t>
      </w:r>
      <w:r w:rsidR="002C2E04" w:rsidRPr="00DA5613">
        <w:rPr>
          <w:rFonts w:asciiTheme="minorHAnsi" w:hAnsiTheme="minorHAnsi" w:cstheme="minorHAnsi"/>
        </w:rPr>
        <w:t>The CDC’s guidance “is based on current scientific evidence and lessons learned from schools implementing COVID-19 prevention strategies</w:t>
      </w:r>
      <w:r w:rsidR="00DE6B57">
        <w:rPr>
          <w:rFonts w:asciiTheme="minorHAnsi" w:hAnsiTheme="minorHAnsi" w:cstheme="minorHAnsi"/>
        </w:rPr>
        <w:t xml:space="preserve">.”  </w:t>
      </w:r>
      <w:r w:rsidR="00305D72" w:rsidRPr="00DA5613">
        <w:rPr>
          <w:rFonts w:asciiTheme="minorHAnsi" w:hAnsiTheme="minorHAnsi" w:cstheme="minorHAnsi"/>
        </w:rPr>
        <w:t>Yet because of Executive Order GA-38, schools in Texas are not permitted to adopt the CDC’s science-based recommendations and are discouraged from taking into account local factors in crafting their COVID-19 mitigation policies thanks to a state-wide, politically</w:t>
      </w:r>
      <w:r w:rsidR="00254603" w:rsidRPr="00DA5613">
        <w:rPr>
          <w:rFonts w:asciiTheme="minorHAnsi" w:hAnsiTheme="minorHAnsi" w:cstheme="minorHAnsi"/>
        </w:rPr>
        <w:t xml:space="preserve"> </w:t>
      </w:r>
      <w:r w:rsidR="00305D72" w:rsidRPr="00DA5613">
        <w:rPr>
          <w:rFonts w:asciiTheme="minorHAnsi" w:hAnsiTheme="minorHAnsi" w:cstheme="minorHAnsi"/>
        </w:rPr>
        <w:t>driven blanket approach</w:t>
      </w:r>
      <w:r w:rsidR="008229BC">
        <w:rPr>
          <w:rFonts w:asciiTheme="minorHAnsi" w:hAnsiTheme="minorHAnsi" w:cstheme="minorHAnsi"/>
        </w:rPr>
        <w:t xml:space="preserve">.  </w:t>
      </w:r>
      <w:r w:rsidR="00305D72" w:rsidRPr="00DA5613">
        <w:rPr>
          <w:rFonts w:asciiTheme="minorHAnsi" w:hAnsiTheme="minorHAnsi" w:cstheme="minorHAnsi"/>
          <w:i/>
          <w:iCs/>
        </w:rPr>
        <w:t>Id</w:t>
      </w:r>
      <w:r w:rsidR="00305D72" w:rsidRPr="00DA5613">
        <w:rPr>
          <w:rFonts w:asciiTheme="minorHAnsi" w:hAnsiTheme="minorHAnsi" w:cstheme="minorHAnsi"/>
        </w:rPr>
        <w:t>.</w:t>
      </w:r>
    </w:p>
    <w:p w14:paraId="36A87CD5" w14:textId="2A7801E0" w:rsidR="00604EC8" w:rsidRPr="00DA5613" w:rsidRDefault="00604EC8" w:rsidP="009A6217">
      <w:pPr>
        <w:pStyle w:val="pleadingtls3"/>
        <w:jc w:val="both"/>
      </w:pPr>
      <w:bookmarkStart w:id="112" w:name="_Toc83814454"/>
      <w:bookmarkStart w:id="113" w:name="_Toc83846169"/>
      <w:r w:rsidRPr="00DA5613">
        <w:t xml:space="preserve">Plaintiffs are </w:t>
      </w:r>
      <w:r w:rsidR="00FD0ADC" w:rsidRPr="00DA5613">
        <w:t>s</w:t>
      </w:r>
      <w:r w:rsidRPr="00DA5613">
        <w:t xml:space="preserve">tudents with </w:t>
      </w:r>
      <w:r w:rsidR="008F6014" w:rsidRPr="00DA5613">
        <w:t xml:space="preserve">medical </w:t>
      </w:r>
      <w:r w:rsidR="00FD0ADC" w:rsidRPr="00DA5613">
        <w:t>d</w:t>
      </w:r>
      <w:r w:rsidRPr="00DA5613">
        <w:t>isabilities</w:t>
      </w:r>
      <w:r w:rsidR="008F6014" w:rsidRPr="00DA5613">
        <w:t xml:space="preserve"> that place them at higher risk for contracting COVID-19 and/or experiencing severe illness due to the virus</w:t>
      </w:r>
      <w:r w:rsidR="00FD0ADC" w:rsidRPr="00DA5613">
        <w:t>.</w:t>
      </w:r>
      <w:bookmarkEnd w:id="112"/>
      <w:bookmarkEnd w:id="113"/>
      <w:r w:rsidRPr="00DA5613">
        <w:t xml:space="preserve"> </w:t>
      </w:r>
    </w:p>
    <w:p w14:paraId="1954BDD3" w14:textId="04F6A71A" w:rsidR="00757B4F" w:rsidRPr="00DA5613" w:rsidRDefault="009425DC" w:rsidP="00590AE0">
      <w:pPr>
        <w:spacing w:line="480" w:lineRule="auto"/>
        <w:ind w:firstLine="720"/>
        <w:rPr>
          <w:rFonts w:asciiTheme="minorHAnsi" w:hAnsiTheme="minorHAnsi" w:cstheme="minorHAnsi"/>
        </w:rPr>
      </w:pPr>
      <w:r w:rsidRPr="00DA5613">
        <w:rPr>
          <w:rFonts w:asciiTheme="minorHAnsi" w:hAnsiTheme="minorHAnsi" w:cstheme="minorHAnsi"/>
        </w:rPr>
        <w:t xml:space="preserve">Plaintiffs are </w:t>
      </w:r>
      <w:r w:rsidR="008611E9" w:rsidRPr="00DA5613">
        <w:rPr>
          <w:rFonts w:asciiTheme="minorHAnsi" w:hAnsiTheme="minorHAnsi" w:cstheme="minorHAnsi"/>
        </w:rPr>
        <w:t xml:space="preserve">seven </w:t>
      </w:r>
      <w:r w:rsidRPr="00DA5613">
        <w:rPr>
          <w:rFonts w:asciiTheme="minorHAnsi" w:hAnsiTheme="minorHAnsi" w:cstheme="minorHAnsi"/>
        </w:rPr>
        <w:t>students enrolled in the Texas public school</w:t>
      </w:r>
      <w:r w:rsidR="00E72677" w:rsidRPr="00DA5613">
        <w:rPr>
          <w:rFonts w:asciiTheme="minorHAnsi" w:hAnsiTheme="minorHAnsi" w:cstheme="minorHAnsi"/>
        </w:rPr>
        <w:t xml:space="preserve"> system</w:t>
      </w:r>
      <w:r w:rsidRPr="00DA5613">
        <w:rPr>
          <w:rFonts w:asciiTheme="minorHAnsi" w:hAnsiTheme="minorHAnsi" w:cstheme="minorHAnsi"/>
        </w:rPr>
        <w:t xml:space="preserve"> who have disabilities as defined under the </w:t>
      </w:r>
      <w:r w:rsidR="0046226B">
        <w:rPr>
          <w:rFonts w:asciiTheme="minorHAnsi" w:hAnsiTheme="minorHAnsi" w:cstheme="minorHAnsi"/>
        </w:rPr>
        <w:t xml:space="preserve">ADA </w:t>
      </w:r>
      <w:r w:rsidRPr="00DA5613">
        <w:rPr>
          <w:rFonts w:asciiTheme="minorHAnsi" w:hAnsiTheme="minorHAnsi" w:cstheme="minorHAnsi"/>
        </w:rPr>
        <w:t>and Section 504</w:t>
      </w:r>
      <w:r w:rsidR="008229BC">
        <w:rPr>
          <w:rFonts w:asciiTheme="minorHAnsi" w:hAnsiTheme="minorHAnsi" w:cstheme="minorHAnsi"/>
        </w:rPr>
        <w:t xml:space="preserve">.  </w:t>
      </w:r>
      <w:r w:rsidR="008611E9" w:rsidRPr="00DA5613">
        <w:rPr>
          <w:rFonts w:asciiTheme="minorHAnsi" w:hAnsiTheme="minorHAnsi" w:cstheme="minorHAnsi"/>
          <w:i/>
          <w:iCs/>
        </w:rPr>
        <w:t>See</w:t>
      </w:r>
      <w:r w:rsidR="008611E9" w:rsidRPr="00DA5613">
        <w:rPr>
          <w:rFonts w:asciiTheme="minorHAnsi" w:hAnsiTheme="minorHAnsi" w:cstheme="minorHAnsi"/>
        </w:rPr>
        <w:t xml:space="preserve"> Ex</w:t>
      </w:r>
      <w:r w:rsidR="008512C1">
        <w:rPr>
          <w:rFonts w:asciiTheme="minorHAnsi" w:hAnsiTheme="minorHAnsi" w:cstheme="minorHAnsi"/>
        </w:rPr>
        <w:t>s</w:t>
      </w:r>
      <w:r w:rsidR="008611E9" w:rsidRPr="00DA5613">
        <w:rPr>
          <w:rFonts w:asciiTheme="minorHAnsi" w:hAnsiTheme="minorHAnsi" w:cstheme="minorHAnsi"/>
        </w:rPr>
        <w:t xml:space="preserve">. </w:t>
      </w:r>
      <w:r w:rsidR="008512C1">
        <w:rPr>
          <w:rFonts w:asciiTheme="minorHAnsi" w:hAnsiTheme="minorHAnsi" w:cstheme="minorHAnsi"/>
        </w:rPr>
        <w:t xml:space="preserve">220, 221, 222, 223, 224, 225, 226, 227, 228, 229, 230 </w:t>
      </w:r>
      <w:r w:rsidR="008611E9" w:rsidRPr="00DA5613">
        <w:rPr>
          <w:rFonts w:asciiTheme="minorHAnsi" w:hAnsiTheme="minorHAnsi" w:cstheme="minorHAnsi"/>
        </w:rPr>
        <w:t>(</w:t>
      </w:r>
      <w:r w:rsidR="00E72677" w:rsidRPr="00DA5613">
        <w:rPr>
          <w:rFonts w:asciiTheme="minorHAnsi" w:hAnsiTheme="minorHAnsi" w:cstheme="minorHAnsi"/>
        </w:rPr>
        <w:t>D</w:t>
      </w:r>
      <w:r w:rsidR="008611E9" w:rsidRPr="00DA5613">
        <w:rPr>
          <w:rFonts w:asciiTheme="minorHAnsi" w:hAnsiTheme="minorHAnsi" w:cstheme="minorHAnsi"/>
        </w:rPr>
        <w:t>eclarations of Plaintiffs’ respective parents)</w:t>
      </w:r>
      <w:r w:rsidR="008229BC">
        <w:rPr>
          <w:rFonts w:asciiTheme="minorHAnsi" w:hAnsiTheme="minorHAnsi" w:cstheme="minorHAnsi"/>
        </w:rPr>
        <w:t xml:space="preserve">.  </w:t>
      </w:r>
      <w:r w:rsidR="008611E9" w:rsidRPr="00DA5613">
        <w:rPr>
          <w:rFonts w:asciiTheme="minorHAnsi" w:hAnsiTheme="minorHAnsi" w:cstheme="minorHAnsi"/>
        </w:rPr>
        <w:t>Plaintiffs</w:t>
      </w:r>
      <w:r w:rsidR="00E72677" w:rsidRPr="00DA5613">
        <w:rPr>
          <w:rFonts w:asciiTheme="minorHAnsi" w:hAnsiTheme="minorHAnsi" w:cstheme="minorHAnsi"/>
        </w:rPr>
        <w:t>’</w:t>
      </w:r>
      <w:r w:rsidR="008611E9" w:rsidRPr="00DA5613">
        <w:rPr>
          <w:rFonts w:asciiTheme="minorHAnsi" w:hAnsiTheme="minorHAnsi" w:cstheme="minorHAnsi"/>
        </w:rPr>
        <w:t xml:space="preserve"> disabilities include Down syndrome, a heart defect, asthma, immune deficiency, underlying reactive airway disease, spina bifida, chronic respiratory failure, and cerebral palsy</w:t>
      </w:r>
      <w:r w:rsidR="008229BC">
        <w:rPr>
          <w:rFonts w:asciiTheme="minorHAnsi" w:hAnsiTheme="minorHAnsi" w:cstheme="minorHAnsi"/>
        </w:rPr>
        <w:t xml:space="preserve">.  </w:t>
      </w:r>
      <w:r w:rsidR="008611E9" w:rsidRPr="00DA5613">
        <w:rPr>
          <w:rFonts w:asciiTheme="minorHAnsi" w:hAnsiTheme="minorHAnsi" w:cstheme="minorHAnsi"/>
        </w:rPr>
        <w:t xml:space="preserve">Plaintiffs’ medical conditions place them at increased risk of either contracting COVID-19 </w:t>
      </w:r>
      <w:r w:rsidR="00E72677" w:rsidRPr="00DA5613">
        <w:rPr>
          <w:rFonts w:asciiTheme="minorHAnsi" w:hAnsiTheme="minorHAnsi" w:cstheme="minorHAnsi"/>
        </w:rPr>
        <w:t>and/</w:t>
      </w:r>
      <w:r w:rsidR="008611E9" w:rsidRPr="00DA5613">
        <w:rPr>
          <w:rFonts w:asciiTheme="minorHAnsi" w:hAnsiTheme="minorHAnsi" w:cstheme="minorHAnsi"/>
        </w:rPr>
        <w:t>or experiencing severe symptoms from the virus</w:t>
      </w:r>
      <w:r w:rsidR="008229BC">
        <w:rPr>
          <w:rFonts w:asciiTheme="minorHAnsi" w:hAnsiTheme="minorHAnsi" w:cstheme="minorHAnsi"/>
        </w:rPr>
        <w:t xml:space="preserve">.  </w:t>
      </w:r>
      <w:r w:rsidR="008611E9" w:rsidRPr="00DA5613">
        <w:rPr>
          <w:rFonts w:asciiTheme="minorHAnsi" w:hAnsiTheme="minorHAnsi" w:cstheme="minorHAnsi"/>
        </w:rPr>
        <w:t>Ex</w:t>
      </w:r>
      <w:r w:rsidR="00597B3A" w:rsidRPr="00DA5613">
        <w:rPr>
          <w:rFonts w:asciiTheme="minorHAnsi" w:hAnsiTheme="minorHAnsi" w:cstheme="minorHAnsi"/>
        </w:rPr>
        <w:t xml:space="preserve">. </w:t>
      </w:r>
      <w:r w:rsidR="008512C1">
        <w:rPr>
          <w:rFonts w:asciiTheme="minorHAnsi" w:hAnsiTheme="minorHAnsi" w:cstheme="minorHAnsi"/>
        </w:rPr>
        <w:t>15</w:t>
      </w:r>
      <w:r w:rsidR="00597B3A" w:rsidRPr="00DA5613">
        <w:rPr>
          <w:rFonts w:asciiTheme="minorHAnsi" w:hAnsiTheme="minorHAnsi" w:cstheme="minorHAnsi"/>
        </w:rPr>
        <w:t xml:space="preserve"> at Section III (</w:t>
      </w:r>
      <w:r w:rsidR="008611E9" w:rsidRPr="00DA5613">
        <w:rPr>
          <w:rFonts w:asciiTheme="minorHAnsi" w:hAnsiTheme="minorHAnsi" w:cstheme="minorHAnsi"/>
        </w:rPr>
        <w:t xml:space="preserve">Expert Report of Dr. Alexander </w:t>
      </w:r>
      <w:r w:rsidR="00597B3A" w:rsidRPr="00DA5613">
        <w:rPr>
          <w:rFonts w:asciiTheme="minorHAnsi" w:hAnsiTheme="minorHAnsi" w:cstheme="minorHAnsi"/>
        </w:rPr>
        <w:t xml:space="preserve">Yudovich); Ex. </w:t>
      </w:r>
      <w:r w:rsidR="008512C1">
        <w:rPr>
          <w:rFonts w:asciiTheme="minorHAnsi" w:hAnsiTheme="minorHAnsi" w:cstheme="minorHAnsi"/>
        </w:rPr>
        <w:t>16</w:t>
      </w:r>
      <w:r w:rsidR="00597B3A" w:rsidRPr="00DA5613">
        <w:rPr>
          <w:rFonts w:asciiTheme="minorHAnsi" w:hAnsiTheme="minorHAnsi" w:cstheme="minorHAnsi"/>
        </w:rPr>
        <w:t xml:space="preserve"> at Section III (Amendment to Report of Dr. Alexander Yudovich); Ex. </w:t>
      </w:r>
      <w:r w:rsidR="008512C1">
        <w:rPr>
          <w:rFonts w:asciiTheme="minorHAnsi" w:hAnsiTheme="minorHAnsi" w:cstheme="minorHAnsi"/>
        </w:rPr>
        <w:t>18</w:t>
      </w:r>
      <w:r w:rsidR="00597B3A" w:rsidRPr="00DA5613">
        <w:rPr>
          <w:rFonts w:asciiTheme="minorHAnsi" w:hAnsiTheme="minorHAnsi" w:cstheme="minorHAnsi"/>
        </w:rPr>
        <w:t xml:space="preserve"> at Section II (Expert Report of Dr. Benjamin Greenberg)</w:t>
      </w:r>
      <w:r w:rsidR="008229BC">
        <w:rPr>
          <w:rFonts w:asciiTheme="minorHAnsi" w:hAnsiTheme="minorHAnsi" w:cstheme="minorHAnsi"/>
        </w:rPr>
        <w:t xml:space="preserve">.  </w:t>
      </w:r>
      <w:r w:rsidR="00E54CEA" w:rsidRPr="00DA5613">
        <w:rPr>
          <w:rFonts w:asciiTheme="minorHAnsi" w:hAnsiTheme="minorHAnsi" w:cstheme="minorHAnsi"/>
        </w:rPr>
        <w:t xml:space="preserve">In addition, </w:t>
      </w:r>
      <w:r w:rsidR="008C5B2E" w:rsidRPr="00DA5613">
        <w:rPr>
          <w:rFonts w:asciiTheme="minorHAnsi" w:hAnsiTheme="minorHAnsi" w:cstheme="minorHAnsi"/>
        </w:rPr>
        <w:t xml:space="preserve">six of the seven </w:t>
      </w:r>
      <w:r w:rsidR="00E54CEA" w:rsidRPr="00DA5613">
        <w:rPr>
          <w:rFonts w:asciiTheme="minorHAnsi" w:hAnsiTheme="minorHAnsi" w:cstheme="minorHAnsi"/>
        </w:rPr>
        <w:t>Plaintiffs are under the age of 12 and thus not eligible to receive any of the currently authorized COVID-19 vaccines.</w:t>
      </w:r>
      <w:r w:rsidR="008C5B2E" w:rsidRPr="00DA5613">
        <w:rPr>
          <w:rStyle w:val="FootnoteReference"/>
          <w:rFonts w:asciiTheme="minorHAnsi" w:hAnsiTheme="minorHAnsi" w:cstheme="minorHAnsi"/>
        </w:rPr>
        <w:footnoteReference w:id="2"/>
      </w:r>
    </w:p>
    <w:p w14:paraId="412E05BD" w14:textId="47EDF37A" w:rsidR="008045ED" w:rsidRDefault="00C03CB0" w:rsidP="00590AE0">
      <w:pPr>
        <w:spacing w:line="480" w:lineRule="auto"/>
        <w:ind w:firstLine="720"/>
        <w:rPr>
          <w:rFonts w:asciiTheme="minorHAnsi" w:hAnsiTheme="minorHAnsi" w:cstheme="minorHAnsi"/>
        </w:rPr>
      </w:pPr>
      <w:r w:rsidRPr="00DA5613">
        <w:rPr>
          <w:rFonts w:asciiTheme="minorHAnsi" w:hAnsiTheme="minorHAnsi" w:cstheme="minorHAnsi"/>
        </w:rPr>
        <w:t xml:space="preserve">For Plaintiffs to attend school safely in the current health climate, their school districts must </w:t>
      </w:r>
      <w:r w:rsidR="00A97062" w:rsidRPr="00DA5613">
        <w:rPr>
          <w:rFonts w:asciiTheme="minorHAnsi" w:hAnsiTheme="minorHAnsi" w:cstheme="minorHAnsi"/>
        </w:rPr>
        <w:t>be able to</w:t>
      </w:r>
      <w:r w:rsidR="00A74B7B" w:rsidRPr="00DA5613">
        <w:rPr>
          <w:rFonts w:asciiTheme="minorHAnsi" w:hAnsiTheme="minorHAnsi" w:cstheme="minorHAnsi"/>
        </w:rPr>
        <w:t xml:space="preserve"> consider</w:t>
      </w:r>
      <w:r w:rsidR="00A97062" w:rsidRPr="00DA5613">
        <w:rPr>
          <w:rFonts w:asciiTheme="minorHAnsi" w:hAnsiTheme="minorHAnsi" w:cstheme="minorHAnsi"/>
        </w:rPr>
        <w:t xml:space="preserve"> universal masking requirements</w:t>
      </w:r>
      <w:r w:rsidR="00A74B7B" w:rsidRPr="00DA5613">
        <w:rPr>
          <w:rFonts w:asciiTheme="minorHAnsi" w:hAnsiTheme="minorHAnsi" w:cstheme="minorHAnsi"/>
        </w:rPr>
        <w:t xml:space="preserve"> when community spread is high</w:t>
      </w:r>
      <w:r w:rsidR="008229BC">
        <w:rPr>
          <w:rFonts w:asciiTheme="minorHAnsi" w:hAnsiTheme="minorHAnsi" w:cstheme="minorHAnsi"/>
        </w:rPr>
        <w:t xml:space="preserve">.  </w:t>
      </w:r>
      <w:r w:rsidR="008D1A09" w:rsidRPr="00DA5613">
        <w:rPr>
          <w:rFonts w:asciiTheme="minorHAnsi" w:hAnsiTheme="minorHAnsi" w:cstheme="minorHAnsi"/>
          <w:i/>
          <w:iCs/>
        </w:rPr>
        <w:t>See</w:t>
      </w:r>
      <w:r w:rsidR="008D1A09" w:rsidRPr="00DA5613">
        <w:rPr>
          <w:rFonts w:asciiTheme="minorHAnsi" w:hAnsiTheme="minorHAnsi" w:cstheme="minorHAnsi"/>
        </w:rPr>
        <w:t xml:space="preserve"> </w:t>
      </w:r>
      <w:r w:rsidR="00A74B7B" w:rsidRPr="00DA5613">
        <w:rPr>
          <w:rFonts w:asciiTheme="minorHAnsi" w:hAnsiTheme="minorHAnsi" w:cstheme="minorHAnsi"/>
        </w:rPr>
        <w:t xml:space="preserve">Ex. </w:t>
      </w:r>
      <w:r w:rsidR="008512C1">
        <w:rPr>
          <w:rFonts w:asciiTheme="minorHAnsi" w:hAnsiTheme="minorHAnsi" w:cstheme="minorHAnsi"/>
        </w:rPr>
        <w:t>17</w:t>
      </w:r>
      <w:r w:rsidR="00590AE0">
        <w:rPr>
          <w:rFonts w:asciiTheme="minorHAnsi" w:hAnsiTheme="minorHAnsi" w:cstheme="minorHAnsi"/>
        </w:rPr>
        <w:t>,</w:t>
      </w:r>
      <w:r w:rsidR="00A74B7B" w:rsidRPr="00DA5613">
        <w:rPr>
          <w:rFonts w:asciiTheme="minorHAnsi" w:hAnsiTheme="minorHAnsi" w:cstheme="minorHAnsi"/>
        </w:rPr>
        <w:t xml:space="preserve"> </w:t>
      </w:r>
      <w:r w:rsidR="00F453A5">
        <w:rPr>
          <w:rFonts w:asciiTheme="minorHAnsi" w:hAnsiTheme="minorHAnsi" w:cstheme="minorHAnsi"/>
        </w:rPr>
        <w:t>¶</w:t>
      </w:r>
      <w:r w:rsidR="008D1A09" w:rsidRPr="00DA5613">
        <w:rPr>
          <w:rFonts w:asciiTheme="minorHAnsi" w:hAnsiTheme="minorHAnsi" w:cstheme="minorHAnsi"/>
        </w:rPr>
        <w:t xml:space="preserve"> 18</w:t>
      </w:r>
      <w:r w:rsidR="008229BC">
        <w:rPr>
          <w:rFonts w:asciiTheme="minorHAnsi" w:hAnsiTheme="minorHAnsi" w:cstheme="minorHAnsi"/>
        </w:rPr>
        <w:t xml:space="preserve">.  </w:t>
      </w:r>
      <w:r w:rsidR="00A74B7B" w:rsidRPr="00DA5613">
        <w:rPr>
          <w:rFonts w:asciiTheme="minorHAnsi" w:hAnsiTheme="minorHAnsi" w:cstheme="minorHAnsi"/>
        </w:rPr>
        <w:t>(Dr. Edward Septimus Affidavit)</w:t>
      </w:r>
      <w:r w:rsidR="008229BC">
        <w:rPr>
          <w:rFonts w:asciiTheme="minorHAnsi" w:hAnsiTheme="minorHAnsi" w:cstheme="minorHAnsi"/>
        </w:rPr>
        <w:t xml:space="preserve">.  </w:t>
      </w:r>
      <w:r w:rsidR="00A74B7B" w:rsidRPr="00DA5613">
        <w:rPr>
          <w:rFonts w:asciiTheme="minorHAnsi" w:hAnsiTheme="minorHAnsi" w:cstheme="minorHAnsi"/>
        </w:rPr>
        <w:t>Universal masking has</w:t>
      </w:r>
      <w:r w:rsidR="00A97062" w:rsidRPr="00DA5613">
        <w:rPr>
          <w:rFonts w:asciiTheme="minorHAnsi" w:hAnsiTheme="minorHAnsi" w:cstheme="minorHAnsi"/>
        </w:rPr>
        <w:t xml:space="preserve"> been shown to be an effective tool </w:t>
      </w:r>
      <w:r w:rsidR="00E72677" w:rsidRPr="00DA5613">
        <w:rPr>
          <w:rFonts w:asciiTheme="minorHAnsi" w:hAnsiTheme="minorHAnsi" w:cstheme="minorHAnsi"/>
        </w:rPr>
        <w:t>in</w:t>
      </w:r>
      <w:r w:rsidR="00A97062" w:rsidRPr="00DA5613">
        <w:rPr>
          <w:rFonts w:asciiTheme="minorHAnsi" w:hAnsiTheme="minorHAnsi" w:cstheme="minorHAnsi"/>
        </w:rPr>
        <w:t xml:space="preserve"> reducing the spread of COVID-19 and </w:t>
      </w:r>
      <w:r w:rsidR="009D0525" w:rsidRPr="00DA5613">
        <w:rPr>
          <w:rFonts w:asciiTheme="minorHAnsi" w:hAnsiTheme="minorHAnsi" w:cstheme="minorHAnsi"/>
        </w:rPr>
        <w:t xml:space="preserve">reducing the severity of symptoms </w:t>
      </w:r>
      <w:r w:rsidR="00E72677" w:rsidRPr="00DA5613">
        <w:rPr>
          <w:rFonts w:asciiTheme="minorHAnsi" w:hAnsiTheme="minorHAnsi" w:cstheme="minorHAnsi"/>
        </w:rPr>
        <w:t>a person may experience</w:t>
      </w:r>
      <w:r w:rsidR="009D0525" w:rsidRPr="00DA5613">
        <w:rPr>
          <w:rFonts w:asciiTheme="minorHAnsi" w:hAnsiTheme="minorHAnsi" w:cstheme="minorHAnsi"/>
        </w:rPr>
        <w:t xml:space="preserve"> should they contract the virus</w:t>
      </w:r>
      <w:r w:rsidR="008229BC">
        <w:rPr>
          <w:rFonts w:asciiTheme="minorHAnsi" w:hAnsiTheme="minorHAnsi" w:cstheme="minorHAnsi"/>
        </w:rPr>
        <w:t xml:space="preserve">.  </w:t>
      </w:r>
      <w:r w:rsidR="00A97062" w:rsidRPr="00DA5613">
        <w:rPr>
          <w:rFonts w:asciiTheme="minorHAnsi" w:hAnsiTheme="minorHAnsi" w:cstheme="minorHAnsi"/>
        </w:rPr>
        <w:t xml:space="preserve">Ex. </w:t>
      </w:r>
      <w:r w:rsidR="008512C1">
        <w:rPr>
          <w:rFonts w:asciiTheme="minorHAnsi" w:hAnsiTheme="minorHAnsi" w:cstheme="minorHAnsi"/>
        </w:rPr>
        <w:t>18</w:t>
      </w:r>
      <w:r w:rsidR="009A6217">
        <w:rPr>
          <w:rFonts w:asciiTheme="minorHAnsi" w:hAnsiTheme="minorHAnsi" w:cstheme="minorHAnsi"/>
        </w:rPr>
        <w:t>,</w:t>
      </w:r>
      <w:r w:rsidR="009D0525" w:rsidRPr="00DA5613">
        <w:rPr>
          <w:rFonts w:asciiTheme="minorHAnsi" w:hAnsiTheme="minorHAnsi" w:cstheme="minorHAnsi"/>
        </w:rPr>
        <w:t xml:space="preserve"> </w:t>
      </w:r>
      <w:r w:rsidR="00F453A5">
        <w:rPr>
          <w:rFonts w:asciiTheme="minorHAnsi" w:hAnsiTheme="minorHAnsi" w:cstheme="minorHAnsi"/>
        </w:rPr>
        <w:t>¶</w:t>
      </w:r>
      <w:r w:rsidR="00A74B7B" w:rsidRPr="00DA5613">
        <w:rPr>
          <w:rFonts w:asciiTheme="minorHAnsi" w:hAnsiTheme="minorHAnsi" w:cstheme="minorHAnsi"/>
        </w:rPr>
        <w:t xml:space="preserve">¶ 19-20 </w:t>
      </w:r>
      <w:r w:rsidR="009D0525" w:rsidRPr="00DA5613">
        <w:rPr>
          <w:rFonts w:asciiTheme="minorHAnsi" w:hAnsiTheme="minorHAnsi" w:cstheme="minorHAnsi"/>
        </w:rPr>
        <w:t>(Dr. Ben Greenberg Affidavit)</w:t>
      </w:r>
      <w:r w:rsidR="00A74B7B" w:rsidRPr="00DA5613">
        <w:rPr>
          <w:rFonts w:asciiTheme="minorHAnsi" w:hAnsiTheme="minorHAnsi" w:cstheme="minorHAnsi"/>
        </w:rPr>
        <w:t xml:space="preserve">; Ex. </w:t>
      </w:r>
      <w:r w:rsidR="008512C1">
        <w:rPr>
          <w:rFonts w:asciiTheme="minorHAnsi" w:hAnsiTheme="minorHAnsi" w:cstheme="minorHAnsi"/>
        </w:rPr>
        <w:t>17</w:t>
      </w:r>
      <w:r w:rsidR="00590AE0">
        <w:rPr>
          <w:rFonts w:asciiTheme="minorHAnsi" w:hAnsiTheme="minorHAnsi" w:cstheme="minorHAnsi"/>
        </w:rPr>
        <w:t>,</w:t>
      </w:r>
      <w:r w:rsidR="00A74B7B" w:rsidRPr="00DA5613">
        <w:rPr>
          <w:rFonts w:asciiTheme="minorHAnsi" w:hAnsiTheme="minorHAnsi" w:cstheme="minorHAnsi"/>
        </w:rPr>
        <w:t xml:space="preserve"> </w:t>
      </w:r>
      <w:r w:rsidR="00590AE0">
        <w:rPr>
          <w:rFonts w:asciiTheme="minorHAnsi" w:hAnsiTheme="minorHAnsi" w:cstheme="minorHAnsi"/>
        </w:rPr>
        <w:t>¶¶</w:t>
      </w:r>
      <w:r w:rsidR="008D1A09" w:rsidRPr="00DA5613">
        <w:rPr>
          <w:rFonts w:asciiTheme="minorHAnsi" w:hAnsiTheme="minorHAnsi" w:cstheme="minorHAnsi"/>
        </w:rPr>
        <w:t xml:space="preserve"> 15, 18-20 (Dr. Edward Septimus Affidavit)</w:t>
      </w:r>
      <w:r w:rsidR="008229BC">
        <w:rPr>
          <w:rFonts w:asciiTheme="minorHAnsi" w:hAnsiTheme="minorHAnsi" w:cstheme="minorHAnsi"/>
        </w:rPr>
        <w:t>.</w:t>
      </w:r>
      <w:r w:rsidR="00A92074">
        <w:rPr>
          <w:rFonts w:asciiTheme="minorHAnsi" w:hAnsiTheme="minorHAnsi" w:cstheme="minorHAnsi"/>
        </w:rPr>
        <w:t xml:space="preserve">  </w:t>
      </w:r>
      <w:r w:rsidR="00A92074">
        <w:t xml:space="preserve">Requiring masing is therefore an effective means of reducing the risk that Plaintiffs will contract COVID and suffer severe complications or death from COVID.  </w:t>
      </w:r>
      <w:r w:rsidR="00A92074">
        <w:rPr>
          <w:i/>
          <w:iCs/>
        </w:rPr>
        <w:t xml:space="preserve">See generally </w:t>
      </w:r>
      <w:r w:rsidR="00A92074">
        <w:t xml:space="preserve">Ex. </w:t>
      </w:r>
      <w:r w:rsidR="008512C1">
        <w:t>17</w:t>
      </w:r>
      <w:r w:rsidR="00A92074">
        <w:t xml:space="preserve"> (Dr. Edward Septimus Affidavit).</w:t>
      </w:r>
      <w:r w:rsidR="008229BC">
        <w:rPr>
          <w:rFonts w:asciiTheme="minorHAnsi" w:hAnsiTheme="minorHAnsi" w:cstheme="minorHAnsi"/>
        </w:rPr>
        <w:t xml:space="preserve">  </w:t>
      </w:r>
      <w:r w:rsidR="008D1A09" w:rsidRPr="00DA5613">
        <w:rPr>
          <w:rFonts w:asciiTheme="minorHAnsi" w:hAnsiTheme="minorHAnsi" w:cstheme="minorHAnsi"/>
        </w:rPr>
        <w:t xml:space="preserve">Inconsistent and voluntary use of masks in schools has been shown to </w:t>
      </w:r>
      <w:r w:rsidR="00E72677" w:rsidRPr="00DA5613">
        <w:rPr>
          <w:rFonts w:asciiTheme="minorHAnsi" w:hAnsiTheme="minorHAnsi" w:cstheme="minorHAnsi"/>
        </w:rPr>
        <w:t xml:space="preserve">be ineffective and to </w:t>
      </w:r>
      <w:r w:rsidR="008D1A09" w:rsidRPr="00DA5613">
        <w:rPr>
          <w:rFonts w:asciiTheme="minorHAnsi" w:hAnsiTheme="minorHAnsi" w:cstheme="minorHAnsi"/>
        </w:rPr>
        <w:t>contribute to school-based outbreaks</w:t>
      </w:r>
      <w:r w:rsidR="008229BC">
        <w:rPr>
          <w:rFonts w:asciiTheme="minorHAnsi" w:hAnsiTheme="minorHAnsi" w:cstheme="minorHAnsi"/>
        </w:rPr>
        <w:t xml:space="preserve">.  </w:t>
      </w:r>
      <w:r w:rsidR="008D1A09" w:rsidRPr="00DA5613">
        <w:rPr>
          <w:rFonts w:asciiTheme="minorHAnsi" w:hAnsiTheme="minorHAnsi" w:cstheme="minorHAnsi"/>
        </w:rPr>
        <w:t xml:space="preserve">Ex. </w:t>
      </w:r>
      <w:r w:rsidR="008512C1">
        <w:rPr>
          <w:rFonts w:asciiTheme="minorHAnsi" w:hAnsiTheme="minorHAnsi" w:cstheme="minorHAnsi"/>
        </w:rPr>
        <w:t>17</w:t>
      </w:r>
      <w:r w:rsidR="00590AE0">
        <w:rPr>
          <w:rFonts w:asciiTheme="minorHAnsi" w:hAnsiTheme="minorHAnsi" w:cstheme="minorHAnsi"/>
        </w:rPr>
        <w:t>,</w:t>
      </w:r>
      <w:r w:rsidR="008D1A09" w:rsidRPr="00DA5613">
        <w:rPr>
          <w:rFonts w:asciiTheme="minorHAnsi" w:hAnsiTheme="minorHAnsi" w:cstheme="minorHAnsi"/>
        </w:rPr>
        <w:t xml:space="preserve"> </w:t>
      </w:r>
      <w:r w:rsidR="00F453A5">
        <w:rPr>
          <w:rFonts w:asciiTheme="minorHAnsi" w:hAnsiTheme="minorHAnsi" w:cstheme="minorHAnsi"/>
        </w:rPr>
        <w:t>¶</w:t>
      </w:r>
      <w:r w:rsidR="008D1A09" w:rsidRPr="00DA5613">
        <w:rPr>
          <w:rFonts w:asciiTheme="minorHAnsi" w:hAnsiTheme="minorHAnsi" w:cstheme="minorHAnsi"/>
        </w:rPr>
        <w:t xml:space="preserve"> 20 (Dr. Edward Septimus Affidavit)</w:t>
      </w:r>
      <w:r w:rsidR="008229BC">
        <w:rPr>
          <w:rFonts w:asciiTheme="minorHAnsi" w:hAnsiTheme="minorHAnsi" w:cstheme="minorHAnsi"/>
        </w:rPr>
        <w:t xml:space="preserve">.  </w:t>
      </w:r>
      <w:r w:rsidR="00BF5122">
        <w:rPr>
          <w:rFonts w:asciiTheme="minorHAnsi" w:hAnsiTheme="minorHAnsi" w:cstheme="minorHAnsi"/>
        </w:rPr>
        <w:t xml:space="preserve">This is </w:t>
      </w:r>
      <w:r w:rsidR="009C5EDE">
        <w:rPr>
          <w:rFonts w:asciiTheme="minorHAnsi" w:hAnsiTheme="minorHAnsi" w:cstheme="minorHAnsi"/>
        </w:rPr>
        <w:t>a matter of</w:t>
      </w:r>
      <w:r w:rsidR="00BF5122">
        <w:rPr>
          <w:rFonts w:asciiTheme="minorHAnsi" w:hAnsiTheme="minorHAnsi" w:cstheme="minorHAnsi"/>
        </w:rPr>
        <w:t xml:space="preserve"> public health, not politics</w:t>
      </w:r>
      <w:r w:rsidR="008229BC">
        <w:rPr>
          <w:rFonts w:asciiTheme="minorHAnsi" w:hAnsiTheme="minorHAnsi" w:cstheme="minorHAnsi"/>
        </w:rPr>
        <w:t xml:space="preserve">.  </w:t>
      </w:r>
      <w:r w:rsidR="00BF5122">
        <w:rPr>
          <w:rFonts w:asciiTheme="minorHAnsi" w:hAnsiTheme="minorHAnsi" w:cstheme="minorHAnsi"/>
        </w:rPr>
        <w:t>M</w:t>
      </w:r>
      <w:r w:rsidR="008D1A09" w:rsidRPr="00DA5613">
        <w:rPr>
          <w:rFonts w:asciiTheme="minorHAnsi" w:hAnsiTheme="minorHAnsi" w:cstheme="minorHAnsi"/>
        </w:rPr>
        <w:t>ask</w:t>
      </w:r>
      <w:r w:rsidR="00E72677" w:rsidRPr="00DA5613">
        <w:rPr>
          <w:rFonts w:asciiTheme="minorHAnsi" w:hAnsiTheme="minorHAnsi" w:cstheme="minorHAnsi"/>
        </w:rPr>
        <w:t>-</w:t>
      </w:r>
      <w:r w:rsidR="008D1A09" w:rsidRPr="00DA5613">
        <w:rPr>
          <w:rFonts w:asciiTheme="minorHAnsi" w:hAnsiTheme="minorHAnsi" w:cstheme="minorHAnsi"/>
        </w:rPr>
        <w:t xml:space="preserve">wearing requires communal participation to be effective—no different than banning smoking in restaurants to prevent secondhand smoke, prohibiting drunk driving to prevent traffic accidents, </w:t>
      </w:r>
      <w:r w:rsidR="00C039BC" w:rsidRPr="00DA5613">
        <w:rPr>
          <w:rFonts w:asciiTheme="minorHAnsi" w:hAnsiTheme="minorHAnsi" w:cstheme="minorHAnsi"/>
        </w:rPr>
        <w:t>and mandating an exclusion of peanut-based snacks or foods in schools to protect students with peanut allergies</w:t>
      </w:r>
      <w:r w:rsidR="008229BC">
        <w:rPr>
          <w:rFonts w:asciiTheme="minorHAnsi" w:hAnsiTheme="minorHAnsi" w:cstheme="minorHAnsi"/>
        </w:rPr>
        <w:t xml:space="preserve">.  </w:t>
      </w:r>
      <w:r w:rsidR="00C039BC" w:rsidRPr="00DA5613">
        <w:rPr>
          <w:rFonts w:asciiTheme="minorHAnsi" w:hAnsiTheme="minorHAnsi" w:cstheme="minorHAnsi"/>
        </w:rPr>
        <w:t xml:space="preserve">Ex. </w:t>
      </w:r>
      <w:r w:rsidR="008512C1">
        <w:rPr>
          <w:rFonts w:asciiTheme="minorHAnsi" w:hAnsiTheme="minorHAnsi" w:cstheme="minorHAnsi"/>
        </w:rPr>
        <w:t>18</w:t>
      </w:r>
      <w:r w:rsidR="00590AE0">
        <w:rPr>
          <w:rFonts w:asciiTheme="minorHAnsi" w:hAnsiTheme="minorHAnsi" w:cstheme="minorHAnsi"/>
        </w:rPr>
        <w:t>,</w:t>
      </w:r>
      <w:r w:rsidR="00C039BC" w:rsidRPr="00DA5613">
        <w:rPr>
          <w:rFonts w:asciiTheme="minorHAnsi" w:hAnsiTheme="minorHAnsi" w:cstheme="minorHAnsi"/>
        </w:rPr>
        <w:t xml:space="preserve"> </w:t>
      </w:r>
      <w:r w:rsidR="00F453A5">
        <w:rPr>
          <w:rFonts w:asciiTheme="minorHAnsi" w:hAnsiTheme="minorHAnsi" w:cstheme="minorHAnsi"/>
        </w:rPr>
        <w:t>¶</w:t>
      </w:r>
      <w:r w:rsidR="00C039BC" w:rsidRPr="00DA5613">
        <w:rPr>
          <w:rFonts w:asciiTheme="minorHAnsi" w:hAnsiTheme="minorHAnsi" w:cstheme="minorHAnsi"/>
        </w:rPr>
        <w:t xml:space="preserve"> 16 (Dr. Ben Greenberg Affidavit).</w:t>
      </w:r>
    </w:p>
    <w:p w14:paraId="4BD5C790" w14:textId="7C36AE14" w:rsidR="00EC0F84" w:rsidRPr="00DA5613" w:rsidRDefault="00EC0F84" w:rsidP="00EC0F84">
      <w:pPr>
        <w:pStyle w:val="pleadingtls3"/>
      </w:pPr>
      <w:bookmarkStart w:id="114" w:name="_Toc83846170"/>
      <w:r>
        <w:t xml:space="preserve">Defendants’ Enforcement of </w:t>
      </w:r>
      <w:r w:rsidRPr="00DA5613">
        <w:t xml:space="preserve">Executive </w:t>
      </w:r>
      <w:r>
        <w:t xml:space="preserve">Order </w:t>
      </w:r>
      <w:r w:rsidRPr="00DA5613">
        <w:t>GA-38</w:t>
      </w:r>
      <w:r>
        <w:t xml:space="preserve"> has deprived Plaintiffs of meaningful access to their public schools</w:t>
      </w:r>
      <w:r w:rsidRPr="00DA5613">
        <w:t>.</w:t>
      </w:r>
      <w:bookmarkEnd w:id="114"/>
      <w:r w:rsidRPr="00DA5613">
        <w:t xml:space="preserve"> </w:t>
      </w:r>
    </w:p>
    <w:p w14:paraId="0DCDB235" w14:textId="38154E3E" w:rsidR="00860987" w:rsidRPr="00DA5613" w:rsidRDefault="00860987" w:rsidP="00254359">
      <w:pPr>
        <w:spacing w:line="480" w:lineRule="auto"/>
        <w:ind w:firstLine="720"/>
        <w:rPr>
          <w:rFonts w:asciiTheme="minorHAnsi" w:hAnsiTheme="minorHAnsi" w:cstheme="minorHAnsi"/>
        </w:rPr>
      </w:pPr>
      <w:r w:rsidRPr="00DA5613">
        <w:rPr>
          <w:rFonts w:asciiTheme="minorHAnsi" w:hAnsiTheme="minorHAnsi" w:cstheme="minorHAnsi"/>
        </w:rPr>
        <w:t xml:space="preserve">Plaintiffs have been put in the impossible position of choosing between attending </w:t>
      </w:r>
      <w:r w:rsidR="009C5EDE">
        <w:rPr>
          <w:rFonts w:asciiTheme="minorHAnsi" w:hAnsiTheme="minorHAnsi" w:cstheme="minorHAnsi"/>
        </w:rPr>
        <w:t xml:space="preserve">school in person </w:t>
      </w:r>
      <w:r w:rsidRPr="00DA5613">
        <w:rPr>
          <w:rFonts w:asciiTheme="minorHAnsi" w:hAnsiTheme="minorHAnsi" w:cstheme="minorHAnsi"/>
        </w:rPr>
        <w:t xml:space="preserve">and risking their health, or staying home and missing the educational, extracurricular, and social benefits of attending </w:t>
      </w:r>
      <w:r w:rsidR="009C5EDE">
        <w:rPr>
          <w:rFonts w:asciiTheme="minorHAnsi" w:hAnsiTheme="minorHAnsi" w:cstheme="minorHAnsi"/>
        </w:rPr>
        <w:t>school</w:t>
      </w:r>
      <w:r w:rsidR="00D971CB" w:rsidRPr="00DA5613">
        <w:rPr>
          <w:rFonts w:asciiTheme="minorHAnsi" w:hAnsiTheme="minorHAnsi" w:cstheme="minorHAnsi"/>
        </w:rPr>
        <w:t>.</w:t>
      </w:r>
    </w:p>
    <w:p w14:paraId="67715627" w14:textId="078503CC" w:rsidR="00757B4F" w:rsidRPr="00DA5613" w:rsidRDefault="00D971CB" w:rsidP="00254359">
      <w:pPr>
        <w:spacing w:line="480" w:lineRule="auto"/>
        <w:ind w:firstLine="720"/>
        <w:rPr>
          <w:rFonts w:asciiTheme="minorHAnsi" w:hAnsiTheme="minorHAnsi" w:cstheme="minorHAnsi"/>
        </w:rPr>
      </w:pPr>
      <w:r w:rsidRPr="00DA5613">
        <w:rPr>
          <w:rFonts w:asciiTheme="minorHAnsi" w:hAnsiTheme="minorHAnsi" w:cstheme="minorHAnsi"/>
        </w:rPr>
        <w:t xml:space="preserve">Plaintiff </w:t>
      </w:r>
      <w:r w:rsidR="00757B4F" w:rsidRPr="00DA5613">
        <w:rPr>
          <w:rFonts w:asciiTheme="minorHAnsi" w:hAnsiTheme="minorHAnsi" w:cstheme="minorHAnsi"/>
        </w:rPr>
        <w:t>M.P. is a student in Fort Bend ISD, which currently has no mask mandate</w:t>
      </w:r>
      <w:r w:rsidR="009D3ABD">
        <w:rPr>
          <w:rFonts w:asciiTheme="minorHAnsi" w:hAnsiTheme="minorHAnsi" w:cstheme="minorHAnsi"/>
        </w:rPr>
        <w:t xml:space="preserve"> because of Defendants’ enforcement actions</w:t>
      </w:r>
      <w:r w:rsidR="00757B4F" w:rsidRPr="00DA5613">
        <w:rPr>
          <w:rFonts w:asciiTheme="minorHAnsi" w:hAnsiTheme="minorHAnsi" w:cstheme="minorHAnsi"/>
        </w:rPr>
        <w:t>.</w:t>
      </w:r>
      <w:r w:rsidR="0068405A" w:rsidRPr="00DA5613">
        <w:rPr>
          <w:rStyle w:val="FootnoteReference"/>
          <w:rFonts w:asciiTheme="minorHAnsi" w:hAnsiTheme="minorHAnsi" w:cstheme="minorHAnsi"/>
        </w:rPr>
        <w:footnoteReference w:id="3"/>
      </w:r>
      <w:r w:rsidR="008C5B2E" w:rsidRPr="00DA5613">
        <w:rPr>
          <w:rFonts w:asciiTheme="minorHAnsi" w:hAnsiTheme="minorHAnsi" w:cstheme="minorHAnsi"/>
        </w:rPr>
        <w:t xml:space="preserve"> M.P. has Down syndrome, hypotonia, mixed receptive-expressive language disorder, and developmental delay.</w:t>
      </w:r>
      <w:r w:rsidR="008C5B2E" w:rsidRPr="00DA5613">
        <w:rPr>
          <w:rStyle w:val="FootnoteReference"/>
          <w:rFonts w:asciiTheme="minorHAnsi" w:hAnsiTheme="minorHAnsi" w:cstheme="minorHAnsi"/>
        </w:rPr>
        <w:footnoteReference w:id="4"/>
      </w:r>
      <w:r w:rsidR="00860987" w:rsidRPr="00DA5613">
        <w:rPr>
          <w:rFonts w:asciiTheme="minorHAnsi" w:hAnsiTheme="minorHAnsi" w:cstheme="minorHAnsi"/>
        </w:rPr>
        <w:t xml:space="preserve"> </w:t>
      </w:r>
      <w:r w:rsidR="008229BC">
        <w:rPr>
          <w:rFonts w:asciiTheme="minorHAnsi" w:hAnsiTheme="minorHAnsi" w:cstheme="minorHAnsi"/>
        </w:rPr>
        <w:t xml:space="preserve"> </w:t>
      </w:r>
      <w:r w:rsidR="00860987" w:rsidRPr="00DA5613">
        <w:rPr>
          <w:rFonts w:asciiTheme="minorHAnsi" w:hAnsiTheme="minorHAnsi" w:cstheme="minorHAnsi"/>
        </w:rPr>
        <w:t>M.P. attended in-person instruction this school year for the first two weeks</w:t>
      </w:r>
      <w:r w:rsidR="009C5EDE">
        <w:rPr>
          <w:rFonts w:asciiTheme="minorHAnsi" w:hAnsiTheme="minorHAnsi" w:cstheme="minorHAnsi"/>
        </w:rPr>
        <w:t xml:space="preserve"> (in August)</w:t>
      </w:r>
      <w:r w:rsidR="00860987" w:rsidRPr="00DA5613">
        <w:rPr>
          <w:rFonts w:asciiTheme="minorHAnsi" w:hAnsiTheme="minorHAnsi" w:cstheme="minorHAnsi"/>
        </w:rPr>
        <w:t xml:space="preserve"> because Fort Bend ISD offered no alternative</w:t>
      </w:r>
      <w:r w:rsidR="00192241" w:rsidRPr="00DA5613">
        <w:rPr>
          <w:rFonts w:asciiTheme="minorHAnsi" w:hAnsiTheme="minorHAnsi" w:cstheme="minorHAnsi"/>
        </w:rPr>
        <w:t xml:space="preserve"> remote instruction</w:t>
      </w:r>
      <w:r w:rsidR="00860987" w:rsidRPr="00DA5613">
        <w:rPr>
          <w:rFonts w:asciiTheme="minorHAnsi" w:hAnsiTheme="minorHAnsi" w:cstheme="minorHAnsi"/>
        </w:rPr>
        <w:t>.</w:t>
      </w:r>
      <w:r w:rsidR="0068405A" w:rsidRPr="00DA5613">
        <w:rPr>
          <w:rStyle w:val="FootnoteReference"/>
          <w:rFonts w:asciiTheme="minorHAnsi" w:hAnsiTheme="minorHAnsi" w:cstheme="minorHAnsi"/>
        </w:rPr>
        <w:footnoteReference w:id="5"/>
      </w:r>
      <w:r w:rsidR="00860987" w:rsidRPr="00DA5613">
        <w:rPr>
          <w:rFonts w:asciiTheme="minorHAnsi" w:hAnsiTheme="minorHAnsi" w:cstheme="minorHAnsi"/>
        </w:rPr>
        <w:t xml:space="preserve"> </w:t>
      </w:r>
      <w:r w:rsidR="008229BC">
        <w:rPr>
          <w:rFonts w:asciiTheme="minorHAnsi" w:hAnsiTheme="minorHAnsi" w:cstheme="minorHAnsi"/>
        </w:rPr>
        <w:t xml:space="preserve"> </w:t>
      </w:r>
      <w:r w:rsidR="00860987" w:rsidRPr="00DA5613">
        <w:rPr>
          <w:rFonts w:asciiTheme="minorHAnsi" w:hAnsiTheme="minorHAnsi" w:cstheme="minorHAnsi"/>
        </w:rPr>
        <w:t xml:space="preserve">Due to rising COVID-19 positive cases and </w:t>
      </w:r>
      <w:r w:rsidR="00192241" w:rsidRPr="00DA5613">
        <w:rPr>
          <w:rFonts w:asciiTheme="minorHAnsi" w:hAnsiTheme="minorHAnsi" w:cstheme="minorHAnsi"/>
        </w:rPr>
        <w:t>the lack of a mask mandate</w:t>
      </w:r>
      <w:r w:rsidR="00860987" w:rsidRPr="00DA5613">
        <w:rPr>
          <w:rFonts w:asciiTheme="minorHAnsi" w:hAnsiTheme="minorHAnsi" w:cstheme="minorHAnsi"/>
        </w:rPr>
        <w:t xml:space="preserve">, M.P. </w:t>
      </w:r>
      <w:r w:rsidR="00192241" w:rsidRPr="00DA5613">
        <w:rPr>
          <w:rFonts w:asciiTheme="minorHAnsi" w:hAnsiTheme="minorHAnsi" w:cstheme="minorHAnsi"/>
        </w:rPr>
        <w:t>stayed home in early September</w:t>
      </w:r>
      <w:r w:rsidR="00860987" w:rsidRPr="00DA5613">
        <w:rPr>
          <w:rFonts w:asciiTheme="minorHAnsi" w:hAnsiTheme="minorHAnsi" w:cstheme="minorHAnsi"/>
        </w:rPr>
        <w:t xml:space="preserve"> and attended virtual instruction, which is now available in the district</w:t>
      </w:r>
      <w:r w:rsidR="0068405A" w:rsidRPr="00DA5613">
        <w:rPr>
          <w:rFonts w:asciiTheme="minorHAnsi" w:hAnsiTheme="minorHAnsi" w:cstheme="minorHAnsi"/>
        </w:rPr>
        <w:t xml:space="preserve"> but only for a limited number of M.P.’s classes</w:t>
      </w:r>
      <w:r w:rsidR="00860987" w:rsidRPr="00DA5613">
        <w:rPr>
          <w:rFonts w:asciiTheme="minorHAnsi" w:hAnsiTheme="minorHAnsi" w:cstheme="minorHAnsi"/>
        </w:rPr>
        <w:t>.</w:t>
      </w:r>
      <w:r w:rsidR="0068405A" w:rsidRPr="00DA5613">
        <w:rPr>
          <w:rStyle w:val="FootnoteReference"/>
          <w:rFonts w:asciiTheme="minorHAnsi" w:hAnsiTheme="minorHAnsi" w:cstheme="minorHAnsi"/>
        </w:rPr>
        <w:footnoteReference w:id="6"/>
      </w:r>
      <w:r w:rsidR="00860987"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M.P. attended school virtually last school year and experienced significant regression in a number of areas, including social skills, ability to focus, and reading fluency.</w:t>
      </w:r>
      <w:r w:rsidR="0068405A" w:rsidRPr="00DA5613">
        <w:rPr>
          <w:rStyle w:val="FootnoteReference"/>
          <w:rFonts w:asciiTheme="minorHAnsi" w:hAnsiTheme="minorHAnsi" w:cstheme="minorHAnsi"/>
        </w:rPr>
        <w:footnoteReference w:id="7"/>
      </w:r>
      <w:r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 xml:space="preserve">Because M.P. is </w:t>
      </w:r>
      <w:r w:rsidR="00192241" w:rsidRPr="00DA5613">
        <w:rPr>
          <w:rFonts w:asciiTheme="minorHAnsi" w:hAnsiTheme="minorHAnsi" w:cstheme="minorHAnsi"/>
        </w:rPr>
        <w:t>no longer attending classes in person</w:t>
      </w:r>
      <w:r w:rsidRPr="00DA5613">
        <w:rPr>
          <w:rFonts w:asciiTheme="minorHAnsi" w:hAnsiTheme="minorHAnsi" w:cstheme="minorHAnsi"/>
        </w:rPr>
        <w:t>, she is unable to participate in elective classes such as choir and taekwondo, which are her favorite school activities.</w:t>
      </w:r>
      <w:r w:rsidR="0068405A" w:rsidRPr="00DA5613">
        <w:rPr>
          <w:rStyle w:val="FootnoteReference"/>
          <w:rFonts w:asciiTheme="minorHAnsi" w:hAnsiTheme="minorHAnsi" w:cstheme="minorHAnsi"/>
        </w:rPr>
        <w:footnoteReference w:id="8"/>
      </w:r>
      <w:r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 xml:space="preserve">Additionally, because she is receiving </w:t>
      </w:r>
      <w:r w:rsidR="009C5EDE">
        <w:rPr>
          <w:rFonts w:asciiTheme="minorHAnsi" w:hAnsiTheme="minorHAnsi" w:cstheme="minorHAnsi"/>
        </w:rPr>
        <w:t xml:space="preserve">only limited </w:t>
      </w:r>
      <w:r w:rsidRPr="00DA5613">
        <w:rPr>
          <w:rFonts w:asciiTheme="minorHAnsi" w:hAnsiTheme="minorHAnsi" w:cstheme="minorHAnsi"/>
        </w:rPr>
        <w:t>virtual instruction, she has received no speech services or reading support from the district this school year.</w:t>
      </w:r>
      <w:r w:rsidR="0068405A" w:rsidRPr="00DA5613">
        <w:rPr>
          <w:rStyle w:val="FootnoteReference"/>
          <w:rFonts w:asciiTheme="minorHAnsi" w:hAnsiTheme="minorHAnsi" w:cstheme="minorHAnsi"/>
        </w:rPr>
        <w:footnoteReference w:id="9"/>
      </w:r>
      <w:r w:rsidRPr="00DA5613">
        <w:rPr>
          <w:rFonts w:asciiTheme="minorHAnsi" w:hAnsiTheme="minorHAnsi" w:cstheme="minorHAnsi"/>
        </w:rPr>
        <w:t xml:space="preserve"> </w:t>
      </w:r>
    </w:p>
    <w:p w14:paraId="544A3C68" w14:textId="246772F2" w:rsidR="0068405A" w:rsidRPr="00DA5613" w:rsidRDefault="0068405A" w:rsidP="00254359">
      <w:pPr>
        <w:spacing w:line="480" w:lineRule="auto"/>
        <w:ind w:firstLine="720"/>
        <w:rPr>
          <w:rFonts w:asciiTheme="minorHAnsi" w:hAnsiTheme="minorHAnsi" w:cstheme="minorHAnsi"/>
        </w:rPr>
      </w:pPr>
      <w:r w:rsidRPr="00DA5613">
        <w:rPr>
          <w:rFonts w:asciiTheme="minorHAnsi" w:hAnsiTheme="minorHAnsi" w:cstheme="minorHAnsi"/>
        </w:rPr>
        <w:t xml:space="preserve">Plaintiff E.T. is a student in Round Rock ISD, which currently has a mask mandate </w:t>
      </w:r>
      <w:r w:rsidR="009D3ABD">
        <w:rPr>
          <w:rFonts w:asciiTheme="minorHAnsi" w:hAnsiTheme="minorHAnsi" w:cstheme="minorHAnsi"/>
        </w:rPr>
        <w:t>despite</w:t>
      </w:r>
      <w:r w:rsidRPr="00DA5613">
        <w:rPr>
          <w:rFonts w:asciiTheme="minorHAnsi" w:hAnsiTheme="minorHAnsi" w:cstheme="minorHAnsi"/>
        </w:rPr>
        <w:t xml:space="preserve"> Executive Order GA-38.</w:t>
      </w:r>
      <w:r w:rsidR="008C5B2E" w:rsidRPr="00DA5613">
        <w:rPr>
          <w:rStyle w:val="FootnoteReference"/>
          <w:rFonts w:asciiTheme="minorHAnsi" w:hAnsiTheme="minorHAnsi" w:cstheme="minorHAnsi"/>
        </w:rPr>
        <w:footnoteReference w:id="10"/>
      </w:r>
      <w:r w:rsidR="008229BC">
        <w:rPr>
          <w:rFonts w:asciiTheme="minorHAnsi" w:hAnsiTheme="minorHAnsi" w:cstheme="minorHAnsi"/>
        </w:rPr>
        <w:t xml:space="preserve"> </w:t>
      </w:r>
      <w:r w:rsidR="008C5B2E" w:rsidRPr="00DA5613">
        <w:rPr>
          <w:rFonts w:asciiTheme="minorHAnsi" w:hAnsiTheme="minorHAnsi" w:cstheme="minorHAnsi"/>
        </w:rPr>
        <w:t xml:space="preserve"> </w:t>
      </w:r>
      <w:r w:rsidR="00DC5553" w:rsidRPr="00DA5613">
        <w:rPr>
          <w:rFonts w:asciiTheme="minorHAnsi" w:hAnsiTheme="minorHAnsi" w:cstheme="minorHAnsi"/>
        </w:rPr>
        <w:t>E.T. has Down syndrome, asthma, immune deficiency, hypertension, attention deficit hyperactivity disorder, underlying reactive airway disease, mood disorder, and obstructive sleep apnea.</w:t>
      </w:r>
      <w:r w:rsidR="00DC5553" w:rsidRPr="00DA5613">
        <w:rPr>
          <w:rStyle w:val="FootnoteReference"/>
          <w:rFonts w:asciiTheme="minorHAnsi" w:hAnsiTheme="minorHAnsi" w:cstheme="minorHAnsi"/>
        </w:rPr>
        <w:footnoteReference w:id="11"/>
      </w:r>
      <w:r w:rsidR="00DC5553" w:rsidRPr="00DA5613">
        <w:rPr>
          <w:rFonts w:asciiTheme="minorHAnsi" w:hAnsiTheme="minorHAnsi" w:cstheme="minorHAnsi"/>
        </w:rPr>
        <w:t xml:space="preserve"> </w:t>
      </w:r>
      <w:r w:rsidR="008229BC">
        <w:rPr>
          <w:rFonts w:asciiTheme="minorHAnsi" w:hAnsiTheme="minorHAnsi" w:cstheme="minorHAnsi"/>
        </w:rPr>
        <w:t xml:space="preserve"> </w:t>
      </w:r>
      <w:r w:rsidR="008C5B2E" w:rsidRPr="00DA5613">
        <w:rPr>
          <w:rFonts w:asciiTheme="minorHAnsi" w:hAnsiTheme="minorHAnsi" w:cstheme="minorHAnsi"/>
        </w:rPr>
        <w:t xml:space="preserve">E.T. </w:t>
      </w:r>
      <w:r w:rsidR="00DC5553" w:rsidRPr="00DA5613">
        <w:rPr>
          <w:rFonts w:asciiTheme="minorHAnsi" w:hAnsiTheme="minorHAnsi" w:cstheme="minorHAnsi"/>
        </w:rPr>
        <w:t>is currently attending in-person instruction but, if the district rescind</w:t>
      </w:r>
      <w:r w:rsidR="00192241" w:rsidRPr="00DA5613">
        <w:rPr>
          <w:rFonts w:asciiTheme="minorHAnsi" w:hAnsiTheme="minorHAnsi" w:cstheme="minorHAnsi"/>
        </w:rPr>
        <w:t>s</w:t>
      </w:r>
      <w:r w:rsidR="00DC5553" w:rsidRPr="00DA5613">
        <w:rPr>
          <w:rFonts w:asciiTheme="minorHAnsi" w:hAnsiTheme="minorHAnsi" w:cstheme="minorHAnsi"/>
        </w:rPr>
        <w:t xml:space="preserve"> its mask mandate, E.T.’s parent</w:t>
      </w:r>
      <w:r w:rsidR="00192241" w:rsidRPr="00DA5613">
        <w:rPr>
          <w:rFonts w:asciiTheme="minorHAnsi" w:hAnsiTheme="minorHAnsi" w:cstheme="minorHAnsi"/>
        </w:rPr>
        <w:t>s</w:t>
      </w:r>
      <w:r w:rsidR="00DC5553" w:rsidRPr="00DA5613">
        <w:rPr>
          <w:rFonts w:asciiTheme="minorHAnsi" w:hAnsiTheme="minorHAnsi" w:cstheme="minorHAnsi"/>
        </w:rPr>
        <w:t xml:space="preserve"> will </w:t>
      </w:r>
      <w:r w:rsidR="009C5EDE">
        <w:rPr>
          <w:rFonts w:asciiTheme="minorHAnsi" w:hAnsiTheme="minorHAnsi" w:cstheme="minorHAnsi"/>
        </w:rPr>
        <w:t xml:space="preserve">be forced to </w:t>
      </w:r>
      <w:r w:rsidR="00DC5553" w:rsidRPr="00DA5613">
        <w:rPr>
          <w:rFonts w:asciiTheme="minorHAnsi" w:hAnsiTheme="minorHAnsi" w:cstheme="minorHAnsi"/>
        </w:rPr>
        <w:t xml:space="preserve">withdraw her from school, causing E.T. to </w:t>
      </w:r>
      <w:r w:rsidR="00192241" w:rsidRPr="00DA5613">
        <w:rPr>
          <w:rFonts w:asciiTheme="minorHAnsi" w:hAnsiTheme="minorHAnsi" w:cstheme="minorHAnsi"/>
        </w:rPr>
        <w:t xml:space="preserve">forgo </w:t>
      </w:r>
      <w:r w:rsidR="00DC5553" w:rsidRPr="00DA5613">
        <w:rPr>
          <w:rFonts w:asciiTheme="minorHAnsi" w:hAnsiTheme="minorHAnsi" w:cstheme="minorHAnsi"/>
        </w:rPr>
        <w:t>significant educational and social opportunities, as well as occupational and speech therapy.</w:t>
      </w:r>
      <w:r w:rsidR="00DC5553" w:rsidRPr="00DA5613">
        <w:rPr>
          <w:rStyle w:val="FootnoteReference"/>
          <w:rFonts w:asciiTheme="minorHAnsi" w:hAnsiTheme="minorHAnsi" w:cstheme="minorHAnsi"/>
        </w:rPr>
        <w:footnoteReference w:id="12"/>
      </w:r>
      <w:r w:rsidR="00DC5553" w:rsidRPr="00DA5613">
        <w:rPr>
          <w:rFonts w:asciiTheme="minorHAnsi" w:hAnsiTheme="minorHAnsi" w:cstheme="minorHAnsi"/>
        </w:rPr>
        <w:t xml:space="preserve"> </w:t>
      </w:r>
      <w:r w:rsidR="008229BC">
        <w:rPr>
          <w:rFonts w:asciiTheme="minorHAnsi" w:hAnsiTheme="minorHAnsi" w:cstheme="minorHAnsi"/>
        </w:rPr>
        <w:t xml:space="preserve"> </w:t>
      </w:r>
      <w:r w:rsidR="00DC5553" w:rsidRPr="00DA5613">
        <w:rPr>
          <w:rFonts w:asciiTheme="minorHAnsi" w:hAnsiTheme="minorHAnsi" w:cstheme="minorHAnsi"/>
        </w:rPr>
        <w:t>While</w:t>
      </w:r>
      <w:r w:rsidR="00192241" w:rsidRPr="00DA5613">
        <w:rPr>
          <w:rFonts w:asciiTheme="minorHAnsi" w:hAnsiTheme="minorHAnsi" w:cstheme="minorHAnsi"/>
        </w:rPr>
        <w:t xml:space="preserve"> attending</w:t>
      </w:r>
      <w:r w:rsidR="00DC5553" w:rsidRPr="00DA5613">
        <w:rPr>
          <w:rFonts w:asciiTheme="minorHAnsi" w:hAnsiTheme="minorHAnsi" w:cstheme="minorHAnsi"/>
        </w:rPr>
        <w:t xml:space="preserve"> virtual instruction last school year, E.T. regressed in multiple areas including math skills and the ability to independently use the bathroom, and also began to self-harm.</w:t>
      </w:r>
      <w:r w:rsidR="00DC5553" w:rsidRPr="00DA5613">
        <w:rPr>
          <w:rStyle w:val="FootnoteReference"/>
          <w:rFonts w:asciiTheme="minorHAnsi" w:hAnsiTheme="minorHAnsi" w:cstheme="minorHAnsi"/>
        </w:rPr>
        <w:footnoteReference w:id="13"/>
      </w:r>
    </w:p>
    <w:p w14:paraId="3E1009BE" w14:textId="2EB3D284" w:rsidR="00741503" w:rsidRPr="00DA5613" w:rsidRDefault="008F67E1" w:rsidP="00254359">
      <w:pPr>
        <w:spacing w:line="480" w:lineRule="auto"/>
        <w:ind w:firstLine="720"/>
        <w:rPr>
          <w:rFonts w:asciiTheme="minorHAnsi" w:hAnsiTheme="minorHAnsi" w:cstheme="minorHAnsi"/>
        </w:rPr>
      </w:pPr>
      <w:r w:rsidRPr="00DA5613">
        <w:rPr>
          <w:rFonts w:asciiTheme="minorHAnsi" w:hAnsiTheme="minorHAnsi" w:cstheme="minorHAnsi"/>
        </w:rPr>
        <w:t xml:space="preserve">Plaintiff S.P. is a student in Richardson ISD, which currently has a mask mandate but has been sued by the Office of the Attorney General for </w:t>
      </w:r>
      <w:r w:rsidR="009848BC" w:rsidRPr="00DA5613">
        <w:rPr>
          <w:rFonts w:asciiTheme="minorHAnsi" w:hAnsiTheme="minorHAnsi" w:cstheme="minorHAnsi"/>
        </w:rPr>
        <w:t>violating</w:t>
      </w:r>
      <w:r w:rsidRPr="00DA5613">
        <w:rPr>
          <w:rFonts w:asciiTheme="minorHAnsi" w:hAnsiTheme="minorHAnsi" w:cstheme="minorHAnsi"/>
        </w:rPr>
        <w:t xml:space="preserve"> GA-38.</w:t>
      </w:r>
      <w:r w:rsidRPr="00DA5613">
        <w:rPr>
          <w:rStyle w:val="FootnoteReference"/>
          <w:rFonts w:asciiTheme="minorHAnsi" w:hAnsiTheme="minorHAnsi" w:cstheme="minorHAnsi"/>
        </w:rPr>
        <w:footnoteReference w:id="14"/>
      </w:r>
      <w:r w:rsidR="008229BC">
        <w:rPr>
          <w:rFonts w:asciiTheme="minorHAnsi" w:hAnsiTheme="minorHAnsi" w:cstheme="minorHAnsi"/>
        </w:rPr>
        <w:t xml:space="preserve"> </w:t>
      </w:r>
      <w:r w:rsidRPr="00DA5613">
        <w:rPr>
          <w:rFonts w:asciiTheme="minorHAnsi" w:hAnsiTheme="minorHAnsi" w:cstheme="minorHAnsi"/>
        </w:rPr>
        <w:t xml:space="preserve"> S.P. has spina bifida, attention deficit hyperactivity disorder, bronchiectasis, Chiari malformation with hydrocephalus, central sleep apnea, chronic respiratory failure, global developmental delay, growth hormone deficiency, seasonal allergies, left vocal cord paralysis, and chronic respiratory failure.</w:t>
      </w:r>
      <w:r w:rsidR="009848BC" w:rsidRPr="00DA5613">
        <w:rPr>
          <w:rStyle w:val="FootnoteReference"/>
          <w:rFonts w:asciiTheme="minorHAnsi" w:hAnsiTheme="minorHAnsi" w:cstheme="minorHAnsi"/>
        </w:rPr>
        <w:footnoteReference w:id="15"/>
      </w:r>
      <w:r w:rsidR="008229BC">
        <w:rPr>
          <w:rFonts w:asciiTheme="minorHAnsi" w:hAnsiTheme="minorHAnsi" w:cstheme="minorHAnsi"/>
        </w:rPr>
        <w:t xml:space="preserve"> </w:t>
      </w:r>
      <w:r w:rsidRPr="00DA5613">
        <w:rPr>
          <w:rFonts w:asciiTheme="minorHAnsi" w:hAnsiTheme="minorHAnsi" w:cstheme="minorHAnsi"/>
        </w:rPr>
        <w:t xml:space="preserve"> </w:t>
      </w:r>
      <w:r w:rsidR="009848BC" w:rsidRPr="00DA5613">
        <w:rPr>
          <w:rFonts w:asciiTheme="minorHAnsi" w:hAnsiTheme="minorHAnsi" w:cstheme="minorHAnsi"/>
        </w:rPr>
        <w:t>S.P.’s treating doctors and specialists have informed his mother that it is dangerous for him to attend in-person schooling without certain CDC-approved precautions.</w:t>
      </w:r>
      <w:r w:rsidR="009848BC" w:rsidRPr="00DA5613">
        <w:rPr>
          <w:rStyle w:val="FootnoteReference"/>
          <w:rFonts w:asciiTheme="minorHAnsi" w:hAnsiTheme="minorHAnsi" w:cstheme="minorHAnsi"/>
        </w:rPr>
        <w:footnoteReference w:id="16"/>
      </w:r>
      <w:r w:rsidR="009848BC" w:rsidRPr="00DA5613">
        <w:rPr>
          <w:rFonts w:asciiTheme="minorHAnsi" w:hAnsiTheme="minorHAnsi" w:cstheme="minorHAnsi"/>
        </w:rPr>
        <w:t xml:space="preserve"> </w:t>
      </w:r>
      <w:r w:rsidR="008229BC">
        <w:rPr>
          <w:rFonts w:asciiTheme="minorHAnsi" w:hAnsiTheme="minorHAnsi" w:cstheme="minorHAnsi"/>
        </w:rPr>
        <w:t xml:space="preserve"> </w:t>
      </w:r>
      <w:r w:rsidR="009D3121" w:rsidRPr="00DA5613">
        <w:rPr>
          <w:rFonts w:asciiTheme="minorHAnsi" w:hAnsiTheme="minorHAnsi" w:cstheme="minorHAnsi"/>
        </w:rPr>
        <w:t xml:space="preserve">He is currently attending </w:t>
      </w:r>
      <w:r w:rsidR="009C5EDE">
        <w:rPr>
          <w:rFonts w:asciiTheme="minorHAnsi" w:hAnsiTheme="minorHAnsi" w:cstheme="minorHAnsi"/>
        </w:rPr>
        <w:t xml:space="preserve">school </w:t>
      </w:r>
      <w:r w:rsidR="009D3121" w:rsidRPr="00DA5613">
        <w:rPr>
          <w:rFonts w:asciiTheme="minorHAnsi" w:hAnsiTheme="minorHAnsi" w:cstheme="minorHAnsi"/>
        </w:rPr>
        <w:t>in</w:t>
      </w:r>
      <w:r w:rsidR="009C5EDE">
        <w:rPr>
          <w:rFonts w:asciiTheme="minorHAnsi" w:hAnsiTheme="minorHAnsi" w:cstheme="minorHAnsi"/>
        </w:rPr>
        <w:t xml:space="preserve"> </w:t>
      </w:r>
      <w:r w:rsidR="009D3121" w:rsidRPr="00DA5613">
        <w:rPr>
          <w:rFonts w:asciiTheme="minorHAnsi" w:hAnsiTheme="minorHAnsi" w:cstheme="minorHAnsi"/>
        </w:rPr>
        <w:t xml:space="preserve">person and will </w:t>
      </w:r>
      <w:r w:rsidR="009C5EDE">
        <w:rPr>
          <w:rFonts w:asciiTheme="minorHAnsi" w:hAnsiTheme="minorHAnsi" w:cstheme="minorHAnsi"/>
        </w:rPr>
        <w:t>have no choice but</w:t>
      </w:r>
      <w:r w:rsidR="009C5EDE" w:rsidRPr="00DA5613">
        <w:rPr>
          <w:rFonts w:asciiTheme="minorHAnsi" w:hAnsiTheme="minorHAnsi" w:cstheme="minorHAnsi"/>
        </w:rPr>
        <w:t xml:space="preserve"> </w:t>
      </w:r>
      <w:r w:rsidR="009D3121" w:rsidRPr="00DA5613">
        <w:rPr>
          <w:rFonts w:asciiTheme="minorHAnsi" w:hAnsiTheme="minorHAnsi" w:cstheme="minorHAnsi"/>
        </w:rPr>
        <w:t>to do so</w:t>
      </w:r>
      <w:r w:rsidR="002D6FE2">
        <w:rPr>
          <w:rFonts w:asciiTheme="minorHAnsi" w:hAnsiTheme="minorHAnsi" w:cstheme="minorHAnsi"/>
        </w:rPr>
        <w:t>, at risk to his health,</w:t>
      </w:r>
      <w:r w:rsidR="009D3121" w:rsidRPr="00DA5613">
        <w:rPr>
          <w:rFonts w:asciiTheme="minorHAnsi" w:hAnsiTheme="minorHAnsi" w:cstheme="minorHAnsi"/>
        </w:rPr>
        <w:t xml:space="preserve"> even if Richardson ISD withdraws the mask mandate because the district does not offer a virtual alternative.</w:t>
      </w:r>
      <w:r w:rsidR="009D3121" w:rsidRPr="00DA5613">
        <w:rPr>
          <w:rStyle w:val="FootnoteReference"/>
          <w:rFonts w:asciiTheme="minorHAnsi" w:hAnsiTheme="minorHAnsi" w:cstheme="minorHAnsi"/>
        </w:rPr>
        <w:footnoteReference w:id="17"/>
      </w:r>
      <w:r w:rsidR="009D3121" w:rsidRPr="00DA5613">
        <w:rPr>
          <w:rFonts w:asciiTheme="minorHAnsi" w:hAnsiTheme="minorHAnsi" w:cstheme="minorHAnsi"/>
        </w:rPr>
        <w:t xml:space="preserve"> </w:t>
      </w:r>
      <w:r w:rsidR="008229BC">
        <w:rPr>
          <w:rFonts w:asciiTheme="minorHAnsi" w:hAnsiTheme="minorHAnsi" w:cstheme="minorHAnsi"/>
        </w:rPr>
        <w:t xml:space="preserve"> </w:t>
      </w:r>
      <w:r w:rsidR="009C5EDE">
        <w:rPr>
          <w:rFonts w:asciiTheme="minorHAnsi" w:hAnsiTheme="minorHAnsi" w:cstheme="minorHAnsi"/>
        </w:rPr>
        <w:t>A</w:t>
      </w:r>
      <w:r w:rsidR="009848BC" w:rsidRPr="00DA5613">
        <w:rPr>
          <w:rFonts w:asciiTheme="minorHAnsi" w:hAnsiTheme="minorHAnsi" w:cstheme="minorHAnsi"/>
        </w:rPr>
        <w:t>s a result of attending virtual instruction last year, S.P. suffered academically, and he is currently significantly behind in core grade level skills such as reading and math.</w:t>
      </w:r>
      <w:r w:rsidR="009848BC" w:rsidRPr="00DA5613">
        <w:rPr>
          <w:rStyle w:val="FootnoteReference"/>
          <w:rFonts w:asciiTheme="minorHAnsi" w:hAnsiTheme="minorHAnsi" w:cstheme="minorHAnsi"/>
        </w:rPr>
        <w:footnoteReference w:id="18"/>
      </w:r>
      <w:r w:rsidR="009848BC" w:rsidRPr="00DA5613">
        <w:rPr>
          <w:rFonts w:asciiTheme="minorHAnsi" w:hAnsiTheme="minorHAnsi" w:cstheme="minorHAnsi"/>
        </w:rPr>
        <w:t xml:space="preserve"> </w:t>
      </w:r>
    </w:p>
    <w:p w14:paraId="1678ABDE" w14:textId="247E091D" w:rsidR="009943B8" w:rsidRPr="00DA5613" w:rsidRDefault="009943B8" w:rsidP="00254359">
      <w:pPr>
        <w:spacing w:line="480" w:lineRule="auto"/>
        <w:ind w:firstLine="720"/>
        <w:rPr>
          <w:rFonts w:asciiTheme="minorHAnsi" w:hAnsiTheme="minorHAnsi" w:cstheme="minorHAnsi"/>
        </w:rPr>
      </w:pPr>
      <w:r w:rsidRPr="00DA5613">
        <w:rPr>
          <w:rFonts w:asciiTheme="minorHAnsi" w:hAnsiTheme="minorHAnsi" w:cstheme="minorHAnsi"/>
        </w:rPr>
        <w:t>Plaintiff J.R. is a student in San Antonio ISD, which currently has a mask mandate.</w:t>
      </w:r>
      <w:r w:rsidRPr="00DA5613">
        <w:rPr>
          <w:rStyle w:val="FootnoteReference"/>
          <w:rFonts w:asciiTheme="minorHAnsi" w:hAnsiTheme="minorHAnsi" w:cstheme="minorHAnsi"/>
        </w:rPr>
        <w:footnoteReference w:id="19"/>
      </w:r>
      <w:r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J.R. has moderate to severe asthma, attention deficit hyperactivity disorder, a growth hormone deficiency, and generalized anxiety disorder.</w:t>
      </w:r>
      <w:r w:rsidRPr="00DA5613">
        <w:rPr>
          <w:rStyle w:val="FootnoteReference"/>
          <w:rFonts w:asciiTheme="minorHAnsi" w:hAnsiTheme="minorHAnsi" w:cstheme="minorHAnsi"/>
        </w:rPr>
        <w:footnoteReference w:id="20"/>
      </w:r>
      <w:r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J.R. is attending school in</w:t>
      </w:r>
      <w:r w:rsidR="009C5EDE">
        <w:rPr>
          <w:rFonts w:asciiTheme="minorHAnsi" w:hAnsiTheme="minorHAnsi" w:cstheme="minorHAnsi"/>
        </w:rPr>
        <w:t xml:space="preserve"> </w:t>
      </w:r>
      <w:r w:rsidRPr="00DA5613">
        <w:rPr>
          <w:rFonts w:asciiTheme="minorHAnsi" w:hAnsiTheme="minorHAnsi" w:cstheme="minorHAnsi"/>
        </w:rPr>
        <w:t>person but is unable to participate in mask-optional activities such as choir and field trips.</w:t>
      </w:r>
      <w:r w:rsidRPr="00DA5613">
        <w:rPr>
          <w:rStyle w:val="FootnoteReference"/>
          <w:rFonts w:asciiTheme="minorHAnsi" w:hAnsiTheme="minorHAnsi" w:cstheme="minorHAnsi"/>
        </w:rPr>
        <w:footnoteReference w:id="21"/>
      </w:r>
      <w:r w:rsidRPr="00DA5613">
        <w:rPr>
          <w:rFonts w:asciiTheme="minorHAnsi" w:hAnsiTheme="minorHAnsi" w:cstheme="minorHAnsi"/>
        </w:rPr>
        <w:t xml:space="preserve"> </w:t>
      </w:r>
      <w:r w:rsidR="008229BC">
        <w:rPr>
          <w:rFonts w:asciiTheme="minorHAnsi" w:hAnsiTheme="minorHAnsi" w:cstheme="minorHAnsi"/>
        </w:rPr>
        <w:t xml:space="preserve"> </w:t>
      </w:r>
      <w:r w:rsidR="00EB4DF1" w:rsidRPr="00DA5613">
        <w:rPr>
          <w:rFonts w:asciiTheme="minorHAnsi" w:hAnsiTheme="minorHAnsi" w:cstheme="minorHAnsi"/>
        </w:rPr>
        <w:t>Last year, during virtual instruction, J.R.’s anxiety disorder was exacerbated due to the experience of remaining homebound and isolated.</w:t>
      </w:r>
      <w:r w:rsidR="00EB4DF1" w:rsidRPr="00DA5613">
        <w:rPr>
          <w:rStyle w:val="FootnoteReference"/>
          <w:rFonts w:asciiTheme="minorHAnsi" w:hAnsiTheme="minorHAnsi" w:cstheme="minorHAnsi"/>
        </w:rPr>
        <w:footnoteReference w:id="22"/>
      </w:r>
      <w:r w:rsidR="00EB4DF1" w:rsidRPr="00DA5613">
        <w:rPr>
          <w:rFonts w:asciiTheme="minorHAnsi" w:hAnsiTheme="minorHAnsi" w:cstheme="minorHAnsi"/>
        </w:rPr>
        <w:t xml:space="preserve"> </w:t>
      </w:r>
      <w:r w:rsidR="008229BC">
        <w:rPr>
          <w:rFonts w:asciiTheme="minorHAnsi" w:hAnsiTheme="minorHAnsi" w:cstheme="minorHAnsi"/>
        </w:rPr>
        <w:t xml:space="preserve"> </w:t>
      </w:r>
      <w:r w:rsidR="00EB4DF1" w:rsidRPr="00DA5613">
        <w:rPr>
          <w:rFonts w:asciiTheme="minorHAnsi" w:hAnsiTheme="minorHAnsi" w:cstheme="minorHAnsi"/>
        </w:rPr>
        <w:t xml:space="preserve">If San Antonio ISD withdrew its mask mandate, J.R.’s parents would </w:t>
      </w:r>
      <w:r w:rsidR="009C5EDE">
        <w:rPr>
          <w:rFonts w:asciiTheme="minorHAnsi" w:hAnsiTheme="minorHAnsi" w:cstheme="minorHAnsi"/>
        </w:rPr>
        <w:t xml:space="preserve">have no choice but to </w:t>
      </w:r>
      <w:r w:rsidR="00EB4DF1" w:rsidRPr="00DA5613">
        <w:rPr>
          <w:rFonts w:asciiTheme="minorHAnsi" w:hAnsiTheme="minorHAnsi" w:cstheme="minorHAnsi"/>
        </w:rPr>
        <w:t>withdraw her from school.</w:t>
      </w:r>
      <w:r w:rsidR="00EB4DF1" w:rsidRPr="00DA5613">
        <w:rPr>
          <w:rStyle w:val="FootnoteReference"/>
          <w:rFonts w:asciiTheme="minorHAnsi" w:hAnsiTheme="minorHAnsi" w:cstheme="minorHAnsi"/>
        </w:rPr>
        <w:footnoteReference w:id="23"/>
      </w:r>
    </w:p>
    <w:p w14:paraId="77E392A6" w14:textId="0AC3D144" w:rsidR="00EB4DF1" w:rsidRPr="00DA5613" w:rsidRDefault="00EB4DF1" w:rsidP="00254359">
      <w:pPr>
        <w:spacing w:line="480" w:lineRule="auto"/>
        <w:ind w:firstLine="720"/>
        <w:rPr>
          <w:rFonts w:asciiTheme="minorHAnsi" w:hAnsiTheme="minorHAnsi" w:cstheme="minorHAnsi"/>
        </w:rPr>
      </w:pPr>
      <w:r w:rsidRPr="00DA5613">
        <w:rPr>
          <w:rFonts w:asciiTheme="minorHAnsi" w:hAnsiTheme="minorHAnsi" w:cstheme="minorHAnsi"/>
        </w:rPr>
        <w:t>Plaintiff H.M. is a student in Leander ISD, which has a mask mandate with a broad opt-out provision.</w:t>
      </w:r>
      <w:r w:rsidRPr="00DA5613">
        <w:rPr>
          <w:rStyle w:val="FootnoteReference"/>
          <w:rFonts w:asciiTheme="minorHAnsi" w:hAnsiTheme="minorHAnsi" w:cstheme="minorHAnsi"/>
        </w:rPr>
        <w:footnoteReference w:id="24"/>
      </w:r>
      <w:r w:rsidR="00926DE9" w:rsidRPr="00DA5613">
        <w:rPr>
          <w:rFonts w:asciiTheme="minorHAnsi" w:hAnsiTheme="minorHAnsi" w:cstheme="minorHAnsi"/>
        </w:rPr>
        <w:t xml:space="preserve"> </w:t>
      </w:r>
      <w:r w:rsidR="008229BC">
        <w:rPr>
          <w:rFonts w:asciiTheme="minorHAnsi" w:hAnsiTheme="minorHAnsi" w:cstheme="minorHAnsi"/>
        </w:rPr>
        <w:t xml:space="preserve"> </w:t>
      </w:r>
      <w:r w:rsidR="00926DE9" w:rsidRPr="00DA5613">
        <w:rPr>
          <w:rFonts w:asciiTheme="minorHAnsi" w:hAnsiTheme="minorHAnsi" w:cstheme="minorHAnsi"/>
        </w:rPr>
        <w:t xml:space="preserve">H.M. has Down syndrome, </w:t>
      </w:r>
      <w:r w:rsidR="009C5EDE">
        <w:rPr>
          <w:rFonts w:asciiTheme="minorHAnsi" w:hAnsiTheme="minorHAnsi" w:cstheme="minorHAnsi"/>
        </w:rPr>
        <w:t>v</w:t>
      </w:r>
      <w:r w:rsidR="00926DE9" w:rsidRPr="00DA5613">
        <w:rPr>
          <w:rFonts w:asciiTheme="minorHAnsi" w:hAnsiTheme="minorHAnsi" w:cstheme="minorHAnsi"/>
        </w:rPr>
        <w:t>entricular septal defect, and bronchomalacia. H.M. started the school year attending classes in</w:t>
      </w:r>
      <w:r w:rsidR="009C5EDE">
        <w:rPr>
          <w:rFonts w:asciiTheme="minorHAnsi" w:hAnsiTheme="minorHAnsi" w:cstheme="minorHAnsi"/>
        </w:rPr>
        <w:t xml:space="preserve"> </w:t>
      </w:r>
      <w:r w:rsidR="00926DE9" w:rsidRPr="00DA5613">
        <w:rPr>
          <w:rFonts w:asciiTheme="minorHAnsi" w:hAnsiTheme="minorHAnsi" w:cstheme="minorHAnsi"/>
        </w:rPr>
        <w:t>person but, when two students in his class tested positive for COVID-19, H.M.’s parents withdrew him.</w:t>
      </w:r>
      <w:r w:rsidR="00926DE9" w:rsidRPr="00DA5613">
        <w:rPr>
          <w:rStyle w:val="FootnoteReference"/>
          <w:rFonts w:asciiTheme="minorHAnsi" w:hAnsiTheme="minorHAnsi" w:cstheme="minorHAnsi"/>
        </w:rPr>
        <w:footnoteReference w:id="25"/>
      </w:r>
      <w:r w:rsidR="00926DE9" w:rsidRPr="00DA5613">
        <w:rPr>
          <w:rFonts w:asciiTheme="minorHAnsi" w:hAnsiTheme="minorHAnsi" w:cstheme="minorHAnsi"/>
        </w:rPr>
        <w:t xml:space="preserve"> </w:t>
      </w:r>
      <w:r w:rsidR="008229BC">
        <w:rPr>
          <w:rFonts w:asciiTheme="minorHAnsi" w:hAnsiTheme="minorHAnsi" w:cstheme="minorHAnsi"/>
        </w:rPr>
        <w:t xml:space="preserve"> </w:t>
      </w:r>
      <w:r w:rsidR="00926DE9" w:rsidRPr="00DA5613">
        <w:rPr>
          <w:rFonts w:asciiTheme="minorHAnsi" w:hAnsiTheme="minorHAnsi" w:cstheme="minorHAnsi"/>
        </w:rPr>
        <w:t>After three weeks of remaining home, H.M. returned to in-person learning.</w:t>
      </w:r>
      <w:r w:rsidR="00926DE9" w:rsidRPr="00DA5613">
        <w:rPr>
          <w:rStyle w:val="FootnoteReference"/>
          <w:rFonts w:asciiTheme="minorHAnsi" w:hAnsiTheme="minorHAnsi" w:cstheme="minorHAnsi"/>
        </w:rPr>
        <w:footnoteReference w:id="26"/>
      </w:r>
      <w:r w:rsidR="00926DE9" w:rsidRPr="00DA5613">
        <w:rPr>
          <w:rFonts w:asciiTheme="minorHAnsi" w:hAnsiTheme="minorHAnsi" w:cstheme="minorHAnsi"/>
        </w:rPr>
        <w:t xml:space="preserve"> </w:t>
      </w:r>
      <w:r w:rsidR="008229BC">
        <w:rPr>
          <w:rFonts w:asciiTheme="minorHAnsi" w:hAnsiTheme="minorHAnsi" w:cstheme="minorHAnsi"/>
        </w:rPr>
        <w:t xml:space="preserve"> </w:t>
      </w:r>
      <w:r w:rsidR="00926DE9" w:rsidRPr="00DA5613">
        <w:rPr>
          <w:rFonts w:asciiTheme="minorHAnsi" w:hAnsiTheme="minorHAnsi" w:cstheme="minorHAnsi"/>
        </w:rPr>
        <w:t>If other students test positive or the district withdraws its mask mandate, H.M. will return to at-home learning.</w:t>
      </w:r>
      <w:r w:rsidR="00926DE9" w:rsidRPr="00DA5613">
        <w:rPr>
          <w:rStyle w:val="FootnoteReference"/>
          <w:rFonts w:asciiTheme="minorHAnsi" w:hAnsiTheme="minorHAnsi" w:cstheme="minorHAnsi"/>
        </w:rPr>
        <w:footnoteReference w:id="27"/>
      </w:r>
      <w:r w:rsidR="00926DE9" w:rsidRPr="00DA5613">
        <w:rPr>
          <w:rFonts w:asciiTheme="minorHAnsi" w:hAnsiTheme="minorHAnsi" w:cstheme="minorHAnsi"/>
        </w:rPr>
        <w:t xml:space="preserve"> </w:t>
      </w:r>
      <w:r w:rsidR="008229BC">
        <w:rPr>
          <w:rFonts w:asciiTheme="minorHAnsi" w:hAnsiTheme="minorHAnsi" w:cstheme="minorHAnsi"/>
        </w:rPr>
        <w:t xml:space="preserve"> </w:t>
      </w:r>
      <w:r w:rsidR="00926DE9" w:rsidRPr="00DA5613">
        <w:rPr>
          <w:rFonts w:asciiTheme="minorHAnsi" w:hAnsiTheme="minorHAnsi" w:cstheme="minorHAnsi"/>
        </w:rPr>
        <w:t xml:space="preserve">Last school year, H.M. was not able to successfully attend virtual instruction because, as a child with Down </w:t>
      </w:r>
      <w:r w:rsidR="009C5EDE">
        <w:rPr>
          <w:rFonts w:asciiTheme="minorHAnsi" w:hAnsiTheme="minorHAnsi" w:cstheme="minorHAnsi"/>
        </w:rPr>
        <w:t>s</w:t>
      </w:r>
      <w:r w:rsidR="00926DE9" w:rsidRPr="00DA5613">
        <w:rPr>
          <w:rFonts w:asciiTheme="minorHAnsi" w:hAnsiTheme="minorHAnsi" w:cstheme="minorHAnsi"/>
        </w:rPr>
        <w:t>yndrome, he is a visual learner rather than verbal learner and, unfortunately, visual instruction is near impossible to accommodate in a remote setting.</w:t>
      </w:r>
      <w:r w:rsidR="00926DE9" w:rsidRPr="00DA5613">
        <w:rPr>
          <w:rStyle w:val="FootnoteReference"/>
          <w:rFonts w:asciiTheme="minorHAnsi" w:hAnsiTheme="minorHAnsi" w:cstheme="minorHAnsi"/>
        </w:rPr>
        <w:footnoteReference w:id="28"/>
      </w:r>
    </w:p>
    <w:p w14:paraId="7C575313" w14:textId="153FCC50" w:rsidR="00755D15" w:rsidRPr="00DA5613" w:rsidRDefault="00755D15" w:rsidP="00254359">
      <w:pPr>
        <w:spacing w:line="480" w:lineRule="auto"/>
        <w:ind w:firstLine="720"/>
        <w:rPr>
          <w:rFonts w:asciiTheme="minorHAnsi" w:hAnsiTheme="minorHAnsi" w:cstheme="minorHAnsi"/>
        </w:rPr>
      </w:pPr>
      <w:r w:rsidRPr="00DA5613">
        <w:rPr>
          <w:rFonts w:asciiTheme="minorHAnsi" w:hAnsiTheme="minorHAnsi" w:cstheme="minorHAnsi"/>
        </w:rPr>
        <w:t>Plaintiff A.M. is a student in Edgewood ISD, which has a mask mandate.</w:t>
      </w:r>
      <w:r w:rsidRPr="00DA5613">
        <w:rPr>
          <w:rStyle w:val="FootnoteReference"/>
          <w:rFonts w:asciiTheme="minorHAnsi" w:hAnsiTheme="minorHAnsi" w:cstheme="minorHAnsi"/>
        </w:rPr>
        <w:footnoteReference w:id="29"/>
      </w:r>
      <w:r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 xml:space="preserve">A.M. has ulcerative colitis (which requires that A.M. receive regular infusions of an immunosuppressant drug), cerebral palsy (and is quadriplegic and spastic), </w:t>
      </w:r>
      <w:r w:rsidR="0046226B">
        <w:rPr>
          <w:rFonts w:asciiTheme="minorHAnsi" w:hAnsiTheme="minorHAnsi" w:cstheme="minorHAnsi"/>
        </w:rPr>
        <w:t xml:space="preserve">and </w:t>
      </w:r>
      <w:r w:rsidRPr="00DA5613">
        <w:rPr>
          <w:rFonts w:asciiTheme="minorHAnsi" w:hAnsiTheme="minorHAnsi" w:cstheme="minorHAnsi"/>
        </w:rPr>
        <w:t xml:space="preserve">hypotonia and </w:t>
      </w:r>
      <w:r w:rsidR="0046226B">
        <w:rPr>
          <w:rFonts w:asciiTheme="minorHAnsi" w:hAnsiTheme="minorHAnsi" w:cstheme="minorHAnsi"/>
        </w:rPr>
        <w:t xml:space="preserve">is </w:t>
      </w:r>
      <w:r w:rsidRPr="00DA5613">
        <w:rPr>
          <w:rFonts w:asciiTheme="minorHAnsi" w:hAnsiTheme="minorHAnsi" w:cstheme="minorHAnsi"/>
        </w:rPr>
        <w:t>nonverbal.</w:t>
      </w:r>
      <w:r w:rsidRPr="00DA5613">
        <w:rPr>
          <w:rStyle w:val="FootnoteReference"/>
          <w:rFonts w:asciiTheme="minorHAnsi" w:hAnsiTheme="minorHAnsi" w:cstheme="minorHAnsi"/>
        </w:rPr>
        <w:footnoteReference w:id="30"/>
      </w:r>
      <w:r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A.M. is attending in-person classes</w:t>
      </w:r>
      <w:r w:rsidR="00086D69" w:rsidRPr="00DA5613">
        <w:rPr>
          <w:rFonts w:asciiTheme="minorHAnsi" w:hAnsiTheme="minorHAnsi" w:cstheme="minorHAnsi"/>
        </w:rPr>
        <w:t xml:space="preserve"> with success: he is on the cusp of verbalizing words and responds well to socializing with his peers.</w:t>
      </w:r>
      <w:r w:rsidR="00086D69" w:rsidRPr="00DA5613">
        <w:rPr>
          <w:rStyle w:val="FootnoteReference"/>
          <w:rFonts w:asciiTheme="minorHAnsi" w:hAnsiTheme="minorHAnsi" w:cstheme="minorHAnsi"/>
        </w:rPr>
        <w:footnoteReference w:id="31"/>
      </w:r>
      <w:r w:rsidR="00086D69" w:rsidRPr="00DA5613">
        <w:rPr>
          <w:rFonts w:asciiTheme="minorHAnsi" w:hAnsiTheme="minorHAnsi" w:cstheme="minorHAnsi"/>
        </w:rPr>
        <w:t xml:space="preserve"> </w:t>
      </w:r>
      <w:r w:rsidR="008229BC">
        <w:rPr>
          <w:rFonts w:asciiTheme="minorHAnsi" w:hAnsiTheme="minorHAnsi" w:cstheme="minorHAnsi"/>
        </w:rPr>
        <w:t xml:space="preserve"> </w:t>
      </w:r>
      <w:r w:rsidR="00086D69" w:rsidRPr="00DA5613">
        <w:rPr>
          <w:rFonts w:asciiTheme="minorHAnsi" w:hAnsiTheme="minorHAnsi" w:cstheme="minorHAnsi"/>
        </w:rPr>
        <w:t>When A.M. attended school virtually last year, he was unable to access occupational therapy and physical therapy services.</w:t>
      </w:r>
      <w:r w:rsidR="00086D69" w:rsidRPr="00DA5613">
        <w:rPr>
          <w:rStyle w:val="FootnoteReference"/>
          <w:rFonts w:asciiTheme="minorHAnsi" w:hAnsiTheme="minorHAnsi" w:cstheme="minorHAnsi"/>
        </w:rPr>
        <w:footnoteReference w:id="32"/>
      </w:r>
      <w:r w:rsidR="00086D69" w:rsidRPr="00DA5613">
        <w:rPr>
          <w:rFonts w:asciiTheme="minorHAnsi" w:hAnsiTheme="minorHAnsi" w:cstheme="minorHAnsi"/>
        </w:rPr>
        <w:t xml:space="preserve"> </w:t>
      </w:r>
      <w:r w:rsidR="008229BC">
        <w:rPr>
          <w:rFonts w:asciiTheme="minorHAnsi" w:hAnsiTheme="minorHAnsi" w:cstheme="minorHAnsi"/>
        </w:rPr>
        <w:t xml:space="preserve"> </w:t>
      </w:r>
      <w:r w:rsidR="00086D69" w:rsidRPr="00DA5613">
        <w:rPr>
          <w:rFonts w:asciiTheme="minorHAnsi" w:hAnsiTheme="minorHAnsi" w:cstheme="minorHAnsi"/>
        </w:rPr>
        <w:t xml:space="preserve">If Edgewood ISD no longer mandated masks, A.M. would </w:t>
      </w:r>
      <w:r w:rsidR="0046226B">
        <w:rPr>
          <w:rFonts w:asciiTheme="minorHAnsi" w:hAnsiTheme="minorHAnsi" w:cstheme="minorHAnsi"/>
        </w:rPr>
        <w:t xml:space="preserve">have to </w:t>
      </w:r>
      <w:r w:rsidR="00086D69" w:rsidRPr="00DA5613">
        <w:rPr>
          <w:rFonts w:asciiTheme="minorHAnsi" w:hAnsiTheme="minorHAnsi" w:cstheme="minorHAnsi"/>
        </w:rPr>
        <w:t>withdraw from in-person classes and receive homebound instruction, which is limited to four hours of instruction per week and is inadequate to ensure he progresses during a critical developmental period for him.</w:t>
      </w:r>
      <w:r w:rsidR="00086D69" w:rsidRPr="00DA5613">
        <w:rPr>
          <w:rStyle w:val="FootnoteReference"/>
          <w:rFonts w:asciiTheme="minorHAnsi" w:hAnsiTheme="minorHAnsi" w:cstheme="minorHAnsi"/>
        </w:rPr>
        <w:footnoteReference w:id="33"/>
      </w:r>
    </w:p>
    <w:p w14:paraId="39D5C830" w14:textId="2FB18043" w:rsidR="0046226B" w:rsidRDefault="00472CA9" w:rsidP="00254359">
      <w:pPr>
        <w:spacing w:line="480" w:lineRule="auto"/>
        <w:rPr>
          <w:rFonts w:asciiTheme="minorHAnsi" w:hAnsiTheme="minorHAnsi" w:cstheme="minorHAnsi"/>
        </w:rPr>
      </w:pPr>
      <w:r w:rsidRPr="00DA5613">
        <w:rPr>
          <w:rFonts w:asciiTheme="minorHAnsi" w:hAnsiTheme="minorHAnsi" w:cstheme="minorHAnsi"/>
        </w:rPr>
        <w:tab/>
        <w:t xml:space="preserve">Plaintiff E.S. is a student in Killeen ISD, which has a mask policy </w:t>
      </w:r>
      <w:r w:rsidR="009C45FA" w:rsidRPr="00DA5613">
        <w:rPr>
          <w:rFonts w:asciiTheme="minorHAnsi" w:hAnsiTheme="minorHAnsi" w:cstheme="minorHAnsi"/>
        </w:rPr>
        <w:t xml:space="preserve">only </w:t>
      </w:r>
      <w:r w:rsidRPr="00DA5613">
        <w:rPr>
          <w:rFonts w:asciiTheme="minorHAnsi" w:hAnsiTheme="minorHAnsi" w:cstheme="minorHAnsi"/>
        </w:rPr>
        <w:t>for its Fort Hood campuses</w:t>
      </w:r>
      <w:r w:rsidR="009C45FA" w:rsidRPr="00DA5613">
        <w:rPr>
          <w:rFonts w:asciiTheme="minorHAnsi" w:hAnsiTheme="minorHAnsi" w:cstheme="minorHAnsi"/>
        </w:rPr>
        <w:t xml:space="preserve"> where she is not enrolled</w:t>
      </w:r>
      <w:r w:rsidRPr="00DA5613">
        <w:rPr>
          <w:rFonts w:asciiTheme="minorHAnsi" w:hAnsiTheme="minorHAnsi" w:cstheme="minorHAnsi"/>
        </w:rPr>
        <w:t>.</w:t>
      </w:r>
      <w:r w:rsidRPr="00DA5613">
        <w:rPr>
          <w:rStyle w:val="FootnoteReference"/>
          <w:rFonts w:asciiTheme="minorHAnsi" w:hAnsiTheme="minorHAnsi" w:cstheme="minorHAnsi"/>
        </w:rPr>
        <w:footnoteReference w:id="34"/>
      </w:r>
      <w:r w:rsidR="008229BC">
        <w:rPr>
          <w:rFonts w:asciiTheme="minorHAnsi" w:hAnsiTheme="minorHAnsi" w:cstheme="minorHAnsi"/>
        </w:rPr>
        <w:t xml:space="preserve"> </w:t>
      </w:r>
      <w:r w:rsidRPr="00DA5613">
        <w:rPr>
          <w:rFonts w:asciiTheme="minorHAnsi" w:hAnsiTheme="minorHAnsi" w:cstheme="minorHAnsi"/>
        </w:rPr>
        <w:t xml:space="preserve"> E.S. has moderate to severe asthma.</w:t>
      </w:r>
      <w:r w:rsidRPr="00DA5613">
        <w:rPr>
          <w:rStyle w:val="FootnoteReference"/>
          <w:rFonts w:asciiTheme="minorHAnsi" w:hAnsiTheme="minorHAnsi" w:cstheme="minorHAnsi"/>
        </w:rPr>
        <w:footnoteReference w:id="35"/>
      </w:r>
      <w:r w:rsidRPr="00DA5613">
        <w:rPr>
          <w:rFonts w:asciiTheme="minorHAnsi" w:hAnsiTheme="minorHAnsi" w:cstheme="minorHAnsi"/>
        </w:rPr>
        <w:t xml:space="preserve"> </w:t>
      </w:r>
      <w:r w:rsidR="008229BC">
        <w:rPr>
          <w:rFonts w:asciiTheme="minorHAnsi" w:hAnsiTheme="minorHAnsi" w:cstheme="minorHAnsi"/>
        </w:rPr>
        <w:t xml:space="preserve"> </w:t>
      </w:r>
      <w:r w:rsidR="00092631" w:rsidRPr="00DA5613">
        <w:rPr>
          <w:rFonts w:asciiTheme="minorHAnsi" w:hAnsiTheme="minorHAnsi" w:cstheme="minorHAnsi"/>
        </w:rPr>
        <w:t>E.S. is attending school in</w:t>
      </w:r>
      <w:r w:rsidR="0046226B">
        <w:rPr>
          <w:rFonts w:asciiTheme="minorHAnsi" w:hAnsiTheme="minorHAnsi" w:cstheme="minorHAnsi"/>
        </w:rPr>
        <w:t xml:space="preserve"> </w:t>
      </w:r>
      <w:r w:rsidR="00092631" w:rsidRPr="00DA5613">
        <w:rPr>
          <w:rFonts w:asciiTheme="minorHAnsi" w:hAnsiTheme="minorHAnsi" w:cstheme="minorHAnsi"/>
        </w:rPr>
        <w:t>person, although several students and staff have reported positive COVID-19 cases.</w:t>
      </w:r>
      <w:r w:rsidR="00092631" w:rsidRPr="00DA5613">
        <w:rPr>
          <w:rStyle w:val="FootnoteReference"/>
          <w:rFonts w:asciiTheme="minorHAnsi" w:hAnsiTheme="minorHAnsi" w:cstheme="minorHAnsi"/>
        </w:rPr>
        <w:footnoteReference w:id="36"/>
      </w:r>
      <w:r w:rsidR="00092631" w:rsidRPr="00DA5613">
        <w:rPr>
          <w:rFonts w:asciiTheme="minorHAnsi" w:hAnsiTheme="minorHAnsi" w:cstheme="minorHAnsi"/>
        </w:rPr>
        <w:t xml:space="preserve"> </w:t>
      </w:r>
      <w:r w:rsidR="008229BC">
        <w:rPr>
          <w:rFonts w:asciiTheme="minorHAnsi" w:hAnsiTheme="minorHAnsi" w:cstheme="minorHAnsi"/>
        </w:rPr>
        <w:t xml:space="preserve"> </w:t>
      </w:r>
      <w:r w:rsidRPr="00DA5613">
        <w:rPr>
          <w:rFonts w:asciiTheme="minorHAnsi" w:hAnsiTheme="minorHAnsi" w:cstheme="minorHAnsi"/>
        </w:rPr>
        <w:t xml:space="preserve">While attending virtual instruction last year, E.S. struggled with being distant from her peers, </w:t>
      </w:r>
      <w:r w:rsidR="00092631" w:rsidRPr="00DA5613">
        <w:rPr>
          <w:rFonts w:asciiTheme="minorHAnsi" w:hAnsiTheme="minorHAnsi" w:cstheme="minorHAnsi"/>
        </w:rPr>
        <w:t xml:space="preserve">had difficulty focusing, </w:t>
      </w:r>
      <w:r w:rsidRPr="00DA5613">
        <w:rPr>
          <w:rFonts w:asciiTheme="minorHAnsi" w:hAnsiTheme="minorHAnsi" w:cstheme="minorHAnsi"/>
        </w:rPr>
        <w:t xml:space="preserve">and did not have sufficient instruction to make sufficient progress in her classes. </w:t>
      </w:r>
    </w:p>
    <w:p w14:paraId="4A73BE96" w14:textId="53EF4357" w:rsidR="00472CA9" w:rsidRPr="00DA5613" w:rsidRDefault="0046226B" w:rsidP="00254359">
      <w:pPr>
        <w:spacing w:line="480" w:lineRule="auto"/>
        <w:ind w:firstLine="720"/>
        <w:rPr>
          <w:rFonts w:asciiTheme="minorHAnsi" w:hAnsiTheme="minorHAnsi" w:cstheme="minorHAnsi"/>
        </w:rPr>
      </w:pPr>
      <w:r w:rsidRPr="00DA5613">
        <w:rPr>
          <w:rFonts w:asciiTheme="minorHAnsi" w:hAnsiTheme="minorHAnsi" w:cstheme="minorHAnsi"/>
        </w:rPr>
        <w:t xml:space="preserve">On August 17, 2021, Plaintiffs filed the Original Complaint alleging that Executive Order GA-38 violates the </w:t>
      </w:r>
      <w:r>
        <w:rPr>
          <w:rFonts w:asciiTheme="minorHAnsi" w:hAnsiTheme="minorHAnsi" w:cstheme="minorHAnsi"/>
        </w:rPr>
        <w:t xml:space="preserve">ADA and Section 504 </w:t>
      </w:r>
      <w:r w:rsidRPr="00DA5613">
        <w:rPr>
          <w:rFonts w:asciiTheme="minorHAnsi" w:hAnsiTheme="minorHAnsi" w:cstheme="minorHAnsi"/>
        </w:rPr>
        <w:t xml:space="preserve">because it </w:t>
      </w:r>
      <w:r w:rsidR="002D6FE2">
        <w:rPr>
          <w:rFonts w:asciiTheme="minorHAnsi" w:hAnsiTheme="minorHAnsi" w:cstheme="minorHAnsi"/>
          <w:color w:val="auto"/>
        </w:rPr>
        <w:t xml:space="preserve">denies them equal access to in-person school and </w:t>
      </w:r>
      <w:r w:rsidRPr="00DA5613">
        <w:rPr>
          <w:rFonts w:asciiTheme="minorHAnsi" w:hAnsiTheme="minorHAnsi" w:cstheme="minorHAnsi"/>
        </w:rPr>
        <w:t>prohibits schools from considering mask mandates as a reasonable accommodation for students with disabilities who are at greater risk of contracting COVID-19 or suffering severe illness as a result of the virus, and</w:t>
      </w:r>
      <w:r w:rsidR="008229BC">
        <w:rPr>
          <w:rFonts w:asciiTheme="minorHAnsi" w:hAnsiTheme="minorHAnsi" w:cstheme="minorHAnsi"/>
        </w:rPr>
        <w:t>,</w:t>
      </w:r>
      <w:r w:rsidRPr="00DA5613">
        <w:rPr>
          <w:rFonts w:asciiTheme="minorHAnsi" w:hAnsiTheme="minorHAnsi" w:cstheme="minorHAnsi"/>
        </w:rPr>
        <w:t xml:space="preserve"> further, that Executive Order GA-38 is preempted by the American Rescue Plan Act of 2021, a federal law that allocated over $11 billion dollars in funding to Texas public schools to implement safety protocol in an effort to promote in-person instruction for the 2021-2022 school year. </w:t>
      </w:r>
      <w:r w:rsidR="008229BC">
        <w:rPr>
          <w:rFonts w:asciiTheme="minorHAnsi" w:hAnsiTheme="minorHAnsi" w:cstheme="minorHAnsi"/>
        </w:rPr>
        <w:t xml:space="preserve"> </w:t>
      </w:r>
      <w:r w:rsidRPr="00DA5613">
        <w:rPr>
          <w:rFonts w:asciiTheme="minorHAnsi" w:hAnsiTheme="minorHAnsi" w:cstheme="minorHAnsi"/>
        </w:rPr>
        <w:t xml:space="preserve">Dkt. 7 (Plaintiffs’ Original Complaint). </w:t>
      </w:r>
      <w:r w:rsidR="008229BC">
        <w:rPr>
          <w:rFonts w:asciiTheme="minorHAnsi" w:hAnsiTheme="minorHAnsi" w:cstheme="minorHAnsi"/>
        </w:rPr>
        <w:t xml:space="preserve"> </w:t>
      </w:r>
      <w:r w:rsidRPr="00DA5613">
        <w:rPr>
          <w:rFonts w:asciiTheme="minorHAnsi" w:hAnsiTheme="minorHAnsi" w:cstheme="minorHAnsi"/>
        </w:rPr>
        <w:t>On September 1, Plaintiffs filed the Amended Complaint</w:t>
      </w:r>
      <w:r>
        <w:rPr>
          <w:rFonts w:asciiTheme="minorHAnsi" w:hAnsiTheme="minorHAnsi" w:cstheme="minorHAnsi"/>
        </w:rPr>
        <w:t>,</w:t>
      </w:r>
      <w:r w:rsidRPr="00DA5613">
        <w:rPr>
          <w:rFonts w:asciiTheme="minorHAnsi" w:hAnsiTheme="minorHAnsi" w:cstheme="minorHAnsi"/>
        </w:rPr>
        <w:t xml:space="preserve"> which added Defendant Attorney General Paxton as a defendant. Dkt. 21 (Plaintiffs’ First Amended Complaint). </w:t>
      </w:r>
      <w:r w:rsidR="008229BC">
        <w:rPr>
          <w:rFonts w:asciiTheme="minorHAnsi" w:hAnsiTheme="minorHAnsi" w:cstheme="minorHAnsi"/>
        </w:rPr>
        <w:t xml:space="preserve"> </w:t>
      </w:r>
      <w:r w:rsidRPr="00DA5613">
        <w:rPr>
          <w:rFonts w:asciiTheme="minorHAnsi" w:hAnsiTheme="minorHAnsi" w:cstheme="minorHAnsi"/>
        </w:rPr>
        <w:t xml:space="preserve">And on </w:t>
      </w:r>
      <w:r w:rsidRPr="00483064">
        <w:rPr>
          <w:rFonts w:asciiTheme="minorHAnsi" w:hAnsiTheme="minorHAnsi" w:cstheme="minorHAnsi"/>
        </w:rPr>
        <w:t xml:space="preserve">September </w:t>
      </w:r>
      <w:r w:rsidR="00483064" w:rsidRPr="00483064">
        <w:rPr>
          <w:rFonts w:asciiTheme="minorHAnsi" w:hAnsiTheme="minorHAnsi" w:cstheme="minorHAnsi"/>
        </w:rPr>
        <w:t>29</w:t>
      </w:r>
      <w:r w:rsidR="00483064">
        <w:rPr>
          <w:rFonts w:asciiTheme="minorHAnsi" w:hAnsiTheme="minorHAnsi" w:cstheme="minorHAnsi"/>
        </w:rPr>
        <w:t>, 2021</w:t>
      </w:r>
      <w:r w:rsidRPr="00DA5613">
        <w:rPr>
          <w:rFonts w:asciiTheme="minorHAnsi" w:hAnsiTheme="minorHAnsi" w:cstheme="minorHAnsi"/>
        </w:rPr>
        <w:t xml:space="preserve">, Plaintiffs filed the instant Second Amended Complaint, adding a fourth cause of action alleging that Executive Order GA-38 is preempted by the ADA and Section 504. </w:t>
      </w:r>
      <w:r w:rsidR="008229BC">
        <w:rPr>
          <w:rFonts w:asciiTheme="minorHAnsi" w:hAnsiTheme="minorHAnsi" w:cstheme="minorHAnsi"/>
        </w:rPr>
        <w:t xml:space="preserve"> </w:t>
      </w:r>
      <w:r w:rsidRPr="00DA5613">
        <w:rPr>
          <w:rFonts w:asciiTheme="minorHAnsi" w:hAnsiTheme="minorHAnsi" w:cstheme="minorHAnsi"/>
        </w:rPr>
        <w:t>Dkt</w:t>
      </w:r>
      <w:r w:rsidRPr="00483064">
        <w:rPr>
          <w:rFonts w:asciiTheme="minorHAnsi" w:hAnsiTheme="minorHAnsi" w:cstheme="minorHAnsi"/>
        </w:rPr>
        <w:t xml:space="preserve">. </w:t>
      </w:r>
      <w:r w:rsidR="00483064" w:rsidRPr="0052109B">
        <w:rPr>
          <w:rFonts w:asciiTheme="minorHAnsi" w:hAnsiTheme="minorHAnsi" w:cstheme="minorHAnsi"/>
        </w:rPr>
        <w:t>45</w:t>
      </w:r>
      <w:r w:rsidRPr="00DA5613">
        <w:rPr>
          <w:rFonts w:asciiTheme="minorHAnsi" w:hAnsiTheme="minorHAnsi" w:cstheme="minorHAnsi"/>
        </w:rPr>
        <w:t xml:space="preserve"> (Plaintiffs’ Second Amended Complaint). </w:t>
      </w:r>
      <w:r w:rsidR="008229BC">
        <w:rPr>
          <w:rFonts w:asciiTheme="minorHAnsi" w:hAnsiTheme="minorHAnsi" w:cstheme="minorHAnsi"/>
        </w:rPr>
        <w:t xml:space="preserve"> </w:t>
      </w:r>
      <w:r w:rsidRPr="00DA5613">
        <w:rPr>
          <w:rFonts w:asciiTheme="minorHAnsi" w:hAnsiTheme="minorHAnsi" w:cstheme="minorHAnsi"/>
        </w:rPr>
        <w:t>Plaintiffs seek to enjoin Defendants from enforcing Executive Order GA-38 insofar as it prohibits Plaintiffs’ school districts from considering whether to implement mask requirements as part of their COVID-19 mitigation strategies.</w:t>
      </w:r>
    </w:p>
    <w:p w14:paraId="6BE67481" w14:textId="6F5E6BDC" w:rsidR="00A01747" w:rsidRPr="00DA5613" w:rsidRDefault="002D6FE2" w:rsidP="00C701F4">
      <w:pPr>
        <w:pStyle w:val="pleadingtls3"/>
      </w:pPr>
      <w:bookmarkStart w:id="116" w:name="_Toc83814455"/>
      <w:bookmarkStart w:id="117" w:name="_Toc83846171"/>
      <w:r>
        <w:t>Defendants are engaged in extensive and active enforcement of GA-38, including litigation, despite claims they are not authorized to enforce it.</w:t>
      </w:r>
      <w:bookmarkEnd w:id="116"/>
      <w:bookmarkEnd w:id="117"/>
    </w:p>
    <w:p w14:paraId="518EDBB6" w14:textId="34C59CB6" w:rsidR="009D6655" w:rsidRPr="00DA5613" w:rsidRDefault="000A230F" w:rsidP="00254359">
      <w:pPr>
        <w:spacing w:line="480" w:lineRule="auto"/>
        <w:ind w:firstLine="720"/>
        <w:rPr>
          <w:rFonts w:asciiTheme="minorHAnsi" w:hAnsiTheme="minorHAnsi" w:cstheme="minorHAnsi"/>
        </w:rPr>
      </w:pPr>
      <w:r w:rsidRPr="00DA5613">
        <w:rPr>
          <w:rFonts w:asciiTheme="minorHAnsi" w:hAnsiTheme="minorHAnsi" w:cstheme="minorHAnsi"/>
        </w:rPr>
        <w:t>Since appearing in this matter, Defendants have taken the position that they are not proper parties to sue because they do not enforce GA-38 and are not identified in the Executive Order as being charged with enforcement</w:t>
      </w:r>
      <w:r w:rsidR="008229BC">
        <w:rPr>
          <w:rFonts w:asciiTheme="minorHAnsi" w:hAnsiTheme="minorHAnsi" w:cstheme="minorHAnsi"/>
        </w:rPr>
        <w:t xml:space="preserve">.  </w:t>
      </w:r>
      <w:r w:rsidRPr="00DA5613">
        <w:rPr>
          <w:rFonts w:asciiTheme="minorHAnsi" w:hAnsiTheme="minorHAnsi" w:cstheme="minorHAnsi"/>
        </w:rPr>
        <w:t>Dkt. 24 (Defendants’ Brief Addressing Propriety of Current Parties) (“Governor Abbott does not enforce GA-38 and therefore the injury is not fairly traceable to him, nor can it be redressed against him.”) (“The Attorney General does not enforce GA-38 and therefore the injury is not fairly traceable to him, nor can be it be redressed again him [sic].”) (“Commissioner Morath does not ‘enforce’ the Public Health Guidance and has made no effort to do so[.]”) (“The Public Health Guidance is not mandatory, and the TEA has not sought to enforce it.”)</w:t>
      </w:r>
      <w:r w:rsidR="008229BC">
        <w:rPr>
          <w:rFonts w:asciiTheme="minorHAnsi" w:hAnsiTheme="minorHAnsi" w:cstheme="minorHAnsi"/>
        </w:rPr>
        <w:t xml:space="preserve">.  </w:t>
      </w:r>
      <w:r w:rsidR="003D0C18" w:rsidRPr="00DA5613">
        <w:rPr>
          <w:rFonts w:asciiTheme="minorHAnsi" w:hAnsiTheme="minorHAnsi" w:cstheme="minorHAnsi"/>
        </w:rPr>
        <w:t xml:space="preserve">Yet, outside this courtroom, Defendant Paxton has launched a high-profile, litigious campaign to enforce Executive Order GA-38 against a number of school districts across the State of Texas </w:t>
      </w:r>
      <w:r w:rsidR="00027C59" w:rsidRPr="00DA5613">
        <w:rPr>
          <w:rFonts w:asciiTheme="minorHAnsi" w:hAnsiTheme="minorHAnsi" w:cstheme="minorHAnsi"/>
        </w:rPr>
        <w:t>that</w:t>
      </w:r>
      <w:r w:rsidR="003D0C18" w:rsidRPr="00DA5613">
        <w:rPr>
          <w:rFonts w:asciiTheme="minorHAnsi" w:hAnsiTheme="minorHAnsi" w:cstheme="minorHAnsi"/>
        </w:rPr>
        <w:t xml:space="preserve"> have chosen to institute mask mandates this school year</w:t>
      </w:r>
      <w:r w:rsidR="00BD0497" w:rsidRPr="00DA5613">
        <w:rPr>
          <w:rFonts w:asciiTheme="minorHAnsi" w:hAnsiTheme="minorHAnsi" w:cstheme="minorHAnsi"/>
        </w:rPr>
        <w:t xml:space="preserve">, including school districts in which Plaintiffs are enrolled. </w:t>
      </w:r>
      <w:r w:rsidR="00791C05" w:rsidRPr="00DA5613">
        <w:rPr>
          <w:rFonts w:asciiTheme="minorHAnsi" w:hAnsiTheme="minorHAnsi" w:cstheme="minorHAnsi"/>
        </w:rPr>
        <w:t xml:space="preserve"> Regardless of what the Executive Order says, then, Defendant Paxton obviously sees himself as charged with its enforcement.</w:t>
      </w:r>
    </w:p>
    <w:p w14:paraId="5ABBFCE0" w14:textId="1AE94C8E" w:rsidR="00BE5269" w:rsidRPr="00DA5613" w:rsidRDefault="00BE5269" w:rsidP="00254359">
      <w:pPr>
        <w:spacing w:line="480" w:lineRule="auto"/>
        <w:ind w:firstLine="720"/>
        <w:rPr>
          <w:rFonts w:asciiTheme="minorHAnsi" w:hAnsiTheme="minorHAnsi" w:cstheme="minorHAnsi"/>
        </w:rPr>
      </w:pPr>
      <w:r w:rsidRPr="00DA5613">
        <w:rPr>
          <w:rFonts w:asciiTheme="minorHAnsi" w:hAnsiTheme="minorHAnsi" w:cstheme="minorHAnsi"/>
        </w:rPr>
        <w:t>Since the beginning of September, Defendant Paxton has sued 15 school districts that have instituted mask mandates on the basis that the</w:t>
      </w:r>
      <w:r w:rsidR="00027C59" w:rsidRPr="00DA5613">
        <w:rPr>
          <w:rFonts w:asciiTheme="minorHAnsi" w:hAnsiTheme="minorHAnsi" w:cstheme="minorHAnsi"/>
        </w:rPr>
        <w:t xml:space="preserve"> mandates</w:t>
      </w:r>
      <w:r w:rsidRPr="00DA5613">
        <w:rPr>
          <w:rFonts w:asciiTheme="minorHAnsi" w:hAnsiTheme="minorHAnsi" w:cstheme="minorHAnsi"/>
        </w:rPr>
        <w:t xml:space="preserve"> violate GA-38, including </w:t>
      </w:r>
      <w:r w:rsidR="009D6655" w:rsidRPr="00DA5613">
        <w:rPr>
          <w:rFonts w:asciiTheme="minorHAnsi" w:hAnsiTheme="minorHAnsi" w:cstheme="minorHAnsi"/>
        </w:rPr>
        <w:t xml:space="preserve">two </w:t>
      </w:r>
      <w:r w:rsidR="000F412D">
        <w:rPr>
          <w:rFonts w:asciiTheme="minorHAnsi" w:hAnsiTheme="minorHAnsi" w:cstheme="minorHAnsi"/>
        </w:rPr>
        <w:t>of P</w:t>
      </w:r>
      <w:r w:rsidR="009D6655" w:rsidRPr="00DA5613">
        <w:rPr>
          <w:rFonts w:asciiTheme="minorHAnsi" w:hAnsiTheme="minorHAnsi" w:cstheme="minorHAnsi"/>
        </w:rPr>
        <w:t>laintiff</w:t>
      </w:r>
      <w:r w:rsidR="000F412D">
        <w:rPr>
          <w:rFonts w:asciiTheme="minorHAnsi" w:hAnsiTheme="minorHAnsi" w:cstheme="minorHAnsi"/>
        </w:rPr>
        <w:t>s</w:t>
      </w:r>
      <w:r w:rsidR="009D6655" w:rsidRPr="00DA5613">
        <w:rPr>
          <w:rFonts w:asciiTheme="minorHAnsi" w:hAnsiTheme="minorHAnsi" w:cstheme="minorHAnsi"/>
        </w:rPr>
        <w:t xml:space="preserve">’s school districts: </w:t>
      </w:r>
      <w:r w:rsidRPr="00DA5613">
        <w:rPr>
          <w:rFonts w:asciiTheme="minorHAnsi" w:hAnsiTheme="minorHAnsi" w:cstheme="minorHAnsi"/>
        </w:rPr>
        <w:t>Round Rock ISD</w:t>
      </w:r>
      <w:r w:rsidR="009D6655" w:rsidRPr="00DA5613">
        <w:rPr>
          <w:rFonts w:asciiTheme="minorHAnsi" w:hAnsiTheme="minorHAnsi" w:cstheme="minorHAnsi"/>
        </w:rPr>
        <w:t xml:space="preserve"> and Richardson ISD, as well as </w:t>
      </w:r>
      <w:r w:rsidRPr="00DA5613">
        <w:rPr>
          <w:rFonts w:asciiTheme="minorHAnsi" w:hAnsiTheme="minorHAnsi" w:cstheme="minorHAnsi"/>
        </w:rPr>
        <w:t>Spring ISD, Sherman ISD, Galveston ISD, Honey Grove ISD, Paris ISD, Longview ISD, Elgin ISD, Lufkin ISD, Diboll ISD, Waco ISD, Midway ISD, La Vega ISD, and McGregor ISD</w:t>
      </w:r>
      <w:r w:rsidR="002833A9">
        <w:rPr>
          <w:rFonts w:asciiTheme="minorHAnsi" w:hAnsiTheme="minorHAnsi" w:cstheme="minorHAnsi"/>
        </w:rPr>
        <w:t xml:space="preserve">.  </w:t>
      </w:r>
      <w:r w:rsidR="00F24822">
        <w:t>Exs. 29, 33, 88, 92, 107, 111, 112, 115, 118, 120, 125</w:t>
      </w:r>
      <w:r w:rsidRPr="00DA5613">
        <w:rPr>
          <w:rFonts w:asciiTheme="minorHAnsi" w:hAnsiTheme="minorHAnsi" w:cstheme="minorHAnsi"/>
        </w:rPr>
        <w:t xml:space="preserve"> (Petitions filed against school districts)</w:t>
      </w:r>
      <w:r w:rsidR="002833A9">
        <w:rPr>
          <w:rFonts w:asciiTheme="minorHAnsi" w:hAnsiTheme="minorHAnsi" w:cstheme="minorHAnsi"/>
        </w:rPr>
        <w:t xml:space="preserve">.  </w:t>
      </w:r>
      <w:r w:rsidR="00012502" w:rsidRPr="00DA5613">
        <w:rPr>
          <w:rFonts w:asciiTheme="minorHAnsi" w:hAnsiTheme="minorHAnsi" w:cstheme="minorHAnsi"/>
        </w:rPr>
        <w:t>Defendant Paxton also sued San Antonio ISD</w:t>
      </w:r>
      <w:r w:rsidR="002D6FE2">
        <w:rPr>
          <w:rFonts w:asciiTheme="minorHAnsi" w:hAnsiTheme="minorHAnsi" w:cstheme="minorHAnsi"/>
        </w:rPr>
        <w:t>, in which J.R. attends school,</w:t>
      </w:r>
      <w:r w:rsidR="00012502" w:rsidRPr="00DA5613">
        <w:rPr>
          <w:rFonts w:asciiTheme="minorHAnsi" w:hAnsiTheme="minorHAnsi" w:cstheme="minorHAnsi"/>
        </w:rPr>
        <w:t xml:space="preserve"> over its vaccine mandate on the basis that it likewise violate</w:t>
      </w:r>
      <w:r w:rsidR="00027C59" w:rsidRPr="00DA5613">
        <w:rPr>
          <w:rFonts w:asciiTheme="minorHAnsi" w:hAnsiTheme="minorHAnsi" w:cstheme="minorHAnsi"/>
        </w:rPr>
        <w:t>s</w:t>
      </w:r>
      <w:r w:rsidR="00012502" w:rsidRPr="00DA5613">
        <w:rPr>
          <w:rFonts w:asciiTheme="minorHAnsi" w:hAnsiTheme="minorHAnsi" w:cstheme="minorHAnsi"/>
        </w:rPr>
        <w:t xml:space="preserve"> other provisions of Executive Order GA-38</w:t>
      </w:r>
      <w:r w:rsidR="002833A9">
        <w:rPr>
          <w:rFonts w:asciiTheme="minorHAnsi" w:hAnsiTheme="minorHAnsi" w:cstheme="minorHAnsi"/>
        </w:rPr>
        <w:t xml:space="preserve">.  </w:t>
      </w:r>
      <w:r w:rsidR="00012502" w:rsidRPr="00DA5613">
        <w:rPr>
          <w:rFonts w:asciiTheme="minorHAnsi" w:hAnsiTheme="minorHAnsi" w:cstheme="minorHAnsi"/>
        </w:rPr>
        <w:t xml:space="preserve">Ex. </w:t>
      </w:r>
      <w:r w:rsidR="00F24822">
        <w:rPr>
          <w:rFonts w:asciiTheme="minorHAnsi" w:hAnsiTheme="minorHAnsi" w:cstheme="minorHAnsi"/>
        </w:rPr>
        <w:t>56</w:t>
      </w:r>
      <w:r w:rsidR="00012502" w:rsidRPr="00DA5613">
        <w:rPr>
          <w:rFonts w:asciiTheme="minorHAnsi" w:hAnsiTheme="minorHAnsi" w:cstheme="minorHAnsi"/>
        </w:rPr>
        <w:t xml:space="preserve"> (Petition filed against SAISD).  </w:t>
      </w:r>
    </w:p>
    <w:p w14:paraId="21C75838" w14:textId="7F6FA464" w:rsidR="003D0C18" w:rsidRPr="00DA5613" w:rsidRDefault="00BD0497" w:rsidP="00254359">
      <w:pPr>
        <w:spacing w:line="480" w:lineRule="auto"/>
        <w:ind w:firstLine="720"/>
        <w:rPr>
          <w:rFonts w:asciiTheme="minorHAnsi" w:hAnsiTheme="minorHAnsi" w:cstheme="minorHAnsi"/>
        </w:rPr>
      </w:pPr>
      <w:r w:rsidRPr="00DA5613">
        <w:rPr>
          <w:rFonts w:asciiTheme="minorHAnsi" w:hAnsiTheme="minorHAnsi" w:cstheme="minorHAnsi"/>
        </w:rPr>
        <w:t>On the official website for the Office of the Attorney General of Texas, Defendant Paxton maintains a “List of Government Entities Unlawfully Imposing Mask Mandates</w:t>
      </w:r>
      <w:r w:rsidR="00027C59" w:rsidRPr="00DA5613">
        <w:rPr>
          <w:rFonts w:asciiTheme="minorHAnsi" w:hAnsiTheme="minorHAnsi" w:cstheme="minorHAnsi"/>
        </w:rPr>
        <w:t>” (“List of Noncompliant Entities”)</w:t>
      </w:r>
      <w:r w:rsidR="002833A9">
        <w:rPr>
          <w:rFonts w:asciiTheme="minorHAnsi" w:hAnsiTheme="minorHAnsi" w:cstheme="minorHAnsi"/>
        </w:rPr>
        <w:t xml:space="preserve">.  </w:t>
      </w:r>
      <w:r w:rsidRPr="00DA5613">
        <w:rPr>
          <w:rFonts w:asciiTheme="minorHAnsi" w:hAnsiTheme="minorHAnsi" w:cstheme="minorHAnsi"/>
        </w:rPr>
        <w:t xml:space="preserve">Ex. </w:t>
      </w:r>
      <w:r w:rsidR="00F24822">
        <w:rPr>
          <w:rFonts w:asciiTheme="minorHAnsi" w:hAnsiTheme="minorHAnsi" w:cstheme="minorHAnsi"/>
        </w:rPr>
        <w:t>12</w:t>
      </w:r>
      <w:r w:rsidRPr="00DA5613">
        <w:rPr>
          <w:rFonts w:asciiTheme="minorHAnsi" w:hAnsiTheme="minorHAnsi" w:cstheme="minorHAnsi"/>
        </w:rPr>
        <w:t xml:space="preserve"> (AG Paxton’s COVID-19 List of Noncompliant Entities as of September 22, 2021)</w:t>
      </w:r>
      <w:r w:rsidR="002833A9">
        <w:rPr>
          <w:rFonts w:asciiTheme="minorHAnsi" w:hAnsiTheme="minorHAnsi" w:cstheme="minorHAnsi"/>
        </w:rPr>
        <w:t xml:space="preserve">.  </w:t>
      </w:r>
      <w:r w:rsidR="007051C5" w:rsidRPr="00DA5613">
        <w:rPr>
          <w:rFonts w:asciiTheme="minorHAnsi" w:hAnsiTheme="minorHAnsi" w:cstheme="minorHAnsi"/>
        </w:rPr>
        <w:t>In the preface for the list, it states that “Attorney General Ken Paxton is committed to protecting the rights and freedoms of all Texans</w:t>
      </w:r>
      <w:r w:rsidR="00DE6B57">
        <w:rPr>
          <w:rFonts w:asciiTheme="minorHAnsi" w:hAnsiTheme="minorHAnsi" w:cstheme="minorHAnsi"/>
        </w:rPr>
        <w:t xml:space="preserve">.”  </w:t>
      </w:r>
      <w:r w:rsidR="001B6B9C" w:rsidRPr="00DA5613">
        <w:rPr>
          <w:rFonts w:asciiTheme="minorHAnsi" w:hAnsiTheme="minorHAnsi" w:cstheme="minorHAnsi"/>
        </w:rPr>
        <w:t xml:space="preserve">The list identifies all governmental entities “who have been reported as non-compliant with Executive Order GA-38” and indicates which among those entities: (1) </w:t>
      </w:r>
      <w:r w:rsidR="007051C5" w:rsidRPr="00DA5613">
        <w:rPr>
          <w:rFonts w:asciiTheme="minorHAnsi" w:hAnsiTheme="minorHAnsi" w:cstheme="minorHAnsi"/>
        </w:rPr>
        <w:t>have been served with a “lawsuit filed by the Office of the Attorney General . . . to enforce GA-38”</w:t>
      </w:r>
      <w:r w:rsidR="001B6B9C" w:rsidRPr="00DA5613">
        <w:rPr>
          <w:rFonts w:asciiTheme="minorHAnsi" w:hAnsiTheme="minorHAnsi" w:cstheme="minorHAnsi"/>
        </w:rPr>
        <w:t xml:space="preserve">; (2) are in </w:t>
      </w:r>
      <w:r w:rsidR="007051C5" w:rsidRPr="00DA5613">
        <w:rPr>
          <w:rFonts w:asciiTheme="minorHAnsi" w:hAnsiTheme="minorHAnsi" w:cstheme="minorHAnsi"/>
        </w:rPr>
        <w:t>“</w:t>
      </w:r>
      <w:r w:rsidR="001B6B9C" w:rsidRPr="00DA5613">
        <w:rPr>
          <w:rFonts w:asciiTheme="minorHAnsi" w:hAnsiTheme="minorHAnsi" w:cstheme="minorHAnsi"/>
        </w:rPr>
        <w:t>active litigation</w:t>
      </w:r>
      <w:r w:rsidR="007051C5" w:rsidRPr="00DA5613">
        <w:rPr>
          <w:rFonts w:asciiTheme="minorHAnsi" w:hAnsiTheme="minorHAnsi" w:cstheme="minorHAnsi"/>
        </w:rPr>
        <w:t xml:space="preserve"> . . . </w:t>
      </w:r>
      <w:r w:rsidR="001B6B9C" w:rsidRPr="00DA5613">
        <w:rPr>
          <w:rFonts w:asciiTheme="minorHAnsi" w:hAnsiTheme="minorHAnsi" w:cstheme="minorHAnsi"/>
        </w:rPr>
        <w:t>regarding the enforcement of GA-38”)</w:t>
      </w:r>
      <w:r w:rsidR="007051C5" w:rsidRPr="00DA5613">
        <w:rPr>
          <w:rFonts w:asciiTheme="minorHAnsi" w:hAnsiTheme="minorHAnsi" w:cstheme="minorHAnsi"/>
        </w:rPr>
        <w:t>; or (3) are not currently in compliance but have been sent a letter by the Texas Attorney General’s Office</w:t>
      </w:r>
      <w:r w:rsidR="00E52737">
        <w:rPr>
          <w:rFonts w:asciiTheme="minorHAnsi" w:hAnsiTheme="minorHAnsi" w:cstheme="minorHAnsi"/>
        </w:rPr>
        <w:t xml:space="preserve">, </w:t>
      </w:r>
      <w:r w:rsidR="00E52737" w:rsidRPr="00E52737">
        <w:rPr>
          <w:rFonts w:asciiTheme="minorHAnsi" w:hAnsiTheme="minorHAnsi" w:cstheme="minorHAnsi"/>
        </w:rPr>
        <w:t>which according to the Texas Attorney General’s Office is a category that includes school districts that abandoned mask requirements after receiving a letter from the Attorney General’s office. Ex. 12 (AG Paxton’s COVID-19 List of Noncompliant Entities as of September 21, 2021); Ex. 161 at 29:15-30:10 (</w:t>
      </w:r>
      <w:r w:rsidR="00E52737">
        <w:rPr>
          <w:rFonts w:asciiTheme="minorHAnsi" w:hAnsiTheme="minorHAnsi" w:cstheme="minorHAnsi"/>
        </w:rPr>
        <w:t xml:space="preserve">A. </w:t>
      </w:r>
      <w:r w:rsidR="00E52737" w:rsidRPr="00E52737">
        <w:rPr>
          <w:rFonts w:asciiTheme="minorHAnsi" w:hAnsiTheme="minorHAnsi" w:cstheme="minorHAnsi"/>
        </w:rPr>
        <w:t>Kinghorn Deposition).</w:t>
      </w:r>
      <w:r w:rsidR="002833A9">
        <w:rPr>
          <w:rFonts w:asciiTheme="minorHAnsi" w:hAnsiTheme="minorHAnsi" w:cstheme="minorHAnsi"/>
        </w:rPr>
        <w:t xml:space="preserve"> </w:t>
      </w:r>
      <w:r w:rsidR="007051C5" w:rsidRPr="00DA5613">
        <w:rPr>
          <w:rFonts w:asciiTheme="minorHAnsi" w:hAnsiTheme="minorHAnsi" w:cstheme="minorHAnsi"/>
        </w:rPr>
        <w:t>As of September 22, at least 90 school districts are named in the list</w:t>
      </w:r>
      <w:r w:rsidR="002833A9">
        <w:rPr>
          <w:rFonts w:asciiTheme="minorHAnsi" w:hAnsiTheme="minorHAnsi" w:cstheme="minorHAnsi"/>
        </w:rPr>
        <w:t xml:space="preserve">.  </w:t>
      </w:r>
      <w:r w:rsidR="007051C5" w:rsidRPr="00DA5613">
        <w:rPr>
          <w:rFonts w:asciiTheme="minorHAnsi" w:hAnsiTheme="minorHAnsi" w:cstheme="minorHAnsi"/>
        </w:rPr>
        <w:t xml:space="preserve">The website also identifies a list of </w:t>
      </w:r>
      <w:r w:rsidR="000F412D">
        <w:rPr>
          <w:rFonts w:asciiTheme="minorHAnsi" w:hAnsiTheme="minorHAnsi" w:cstheme="minorHAnsi"/>
        </w:rPr>
        <w:t xml:space="preserve">school districts and other </w:t>
      </w:r>
      <w:r w:rsidR="007051C5" w:rsidRPr="00DA5613">
        <w:rPr>
          <w:rFonts w:asciiTheme="minorHAnsi" w:hAnsiTheme="minorHAnsi" w:cstheme="minorHAnsi"/>
        </w:rPr>
        <w:t>government entities that are “[n]ow in compliance” but “previously not in compliance</w:t>
      </w:r>
      <w:r w:rsidR="00DE6B57">
        <w:rPr>
          <w:rFonts w:asciiTheme="minorHAnsi" w:hAnsiTheme="minorHAnsi" w:cstheme="minorHAnsi"/>
        </w:rPr>
        <w:t xml:space="preserve">.”  </w:t>
      </w:r>
    </w:p>
    <w:p w14:paraId="20241CA2" w14:textId="47E9A17B" w:rsidR="00501344" w:rsidRPr="00DA5613" w:rsidRDefault="00027C59" w:rsidP="00254359">
      <w:pPr>
        <w:spacing w:line="480" w:lineRule="auto"/>
        <w:ind w:firstLine="720"/>
        <w:rPr>
          <w:rFonts w:asciiTheme="minorHAnsi" w:hAnsiTheme="minorHAnsi" w:cstheme="minorHAnsi"/>
        </w:rPr>
      </w:pPr>
      <w:r w:rsidRPr="00DA5613">
        <w:rPr>
          <w:rFonts w:asciiTheme="minorHAnsi" w:hAnsiTheme="minorHAnsi" w:cstheme="minorHAnsi"/>
        </w:rPr>
        <w:t>The letters</w:t>
      </w:r>
      <w:r w:rsidR="00501344" w:rsidRPr="00DA5613">
        <w:rPr>
          <w:rFonts w:asciiTheme="minorHAnsi" w:hAnsiTheme="minorHAnsi" w:cstheme="minorHAnsi"/>
        </w:rPr>
        <w:t xml:space="preserve"> sent to school districts </w:t>
      </w:r>
      <w:r w:rsidRPr="00DA5613">
        <w:rPr>
          <w:rFonts w:asciiTheme="minorHAnsi" w:hAnsiTheme="minorHAnsi" w:cstheme="minorHAnsi"/>
        </w:rPr>
        <w:t>by the Attorney General’s Office accuse the</w:t>
      </w:r>
      <w:r w:rsidR="0046226B">
        <w:rPr>
          <w:rFonts w:asciiTheme="minorHAnsi" w:hAnsiTheme="minorHAnsi" w:cstheme="minorHAnsi"/>
        </w:rPr>
        <w:t>m</w:t>
      </w:r>
      <w:r w:rsidR="00501344" w:rsidRPr="00DA5613">
        <w:rPr>
          <w:rFonts w:asciiTheme="minorHAnsi" w:hAnsiTheme="minorHAnsi" w:cstheme="minorHAnsi"/>
        </w:rPr>
        <w:t xml:space="preserve"> </w:t>
      </w:r>
      <w:r w:rsidRPr="00DA5613">
        <w:rPr>
          <w:rFonts w:asciiTheme="minorHAnsi" w:hAnsiTheme="minorHAnsi" w:cstheme="minorHAnsi"/>
        </w:rPr>
        <w:t xml:space="preserve">of </w:t>
      </w:r>
      <w:r w:rsidR="00501344" w:rsidRPr="00DA5613">
        <w:rPr>
          <w:rFonts w:asciiTheme="minorHAnsi" w:hAnsiTheme="minorHAnsi" w:cstheme="minorHAnsi"/>
        </w:rPr>
        <w:t>“enact</w:t>
      </w:r>
      <w:r w:rsidRPr="00DA5613">
        <w:rPr>
          <w:rFonts w:asciiTheme="minorHAnsi" w:hAnsiTheme="minorHAnsi" w:cstheme="minorHAnsi"/>
        </w:rPr>
        <w:t>[ing]</w:t>
      </w:r>
      <w:r w:rsidR="00501344" w:rsidRPr="00DA5613">
        <w:rPr>
          <w:rFonts w:asciiTheme="minorHAnsi" w:hAnsiTheme="minorHAnsi" w:cstheme="minorHAnsi"/>
        </w:rPr>
        <w:t xml:space="preserve"> a local policy mandating that students and faculty wear face masks at schools in [their] district</w:t>
      </w:r>
      <w:r w:rsidR="002D6FE2">
        <w:rPr>
          <w:rFonts w:asciiTheme="minorHAnsi" w:hAnsiTheme="minorHAnsi" w:cstheme="minorHAnsi"/>
        </w:rPr>
        <w:t>,</w:t>
      </w:r>
      <w:r w:rsidR="00501344" w:rsidRPr="00DA5613">
        <w:rPr>
          <w:rFonts w:asciiTheme="minorHAnsi" w:hAnsiTheme="minorHAnsi" w:cstheme="minorHAnsi"/>
        </w:rPr>
        <w:t xml:space="preserve">” and </w:t>
      </w:r>
      <w:r w:rsidR="002D6FE2">
        <w:rPr>
          <w:rFonts w:asciiTheme="minorHAnsi" w:hAnsiTheme="minorHAnsi" w:cstheme="minorHAnsi"/>
        </w:rPr>
        <w:t xml:space="preserve">they </w:t>
      </w:r>
      <w:r w:rsidRPr="00DA5613">
        <w:rPr>
          <w:rFonts w:asciiTheme="minorHAnsi" w:hAnsiTheme="minorHAnsi" w:cstheme="minorHAnsi"/>
        </w:rPr>
        <w:t>stat</w:t>
      </w:r>
      <w:r w:rsidR="002D6FE2">
        <w:rPr>
          <w:rFonts w:asciiTheme="minorHAnsi" w:hAnsiTheme="minorHAnsi" w:cstheme="minorHAnsi"/>
        </w:rPr>
        <w:t>e</w:t>
      </w:r>
      <w:r w:rsidRPr="00DA5613">
        <w:rPr>
          <w:rFonts w:asciiTheme="minorHAnsi" w:hAnsiTheme="minorHAnsi" w:cstheme="minorHAnsi"/>
        </w:rPr>
        <w:t xml:space="preserve"> </w:t>
      </w:r>
      <w:r w:rsidR="00501344" w:rsidRPr="00DA5613">
        <w:rPr>
          <w:rFonts w:asciiTheme="minorHAnsi" w:hAnsiTheme="minorHAnsi" w:cstheme="minorHAnsi"/>
        </w:rPr>
        <w:t xml:space="preserve">that: </w:t>
      </w:r>
    </w:p>
    <w:p w14:paraId="00523F4E" w14:textId="77777777" w:rsidR="00EC0F84" w:rsidRDefault="00501344" w:rsidP="00254359">
      <w:pPr>
        <w:ind w:left="720" w:right="720"/>
        <w:rPr>
          <w:rFonts w:asciiTheme="minorHAnsi" w:hAnsiTheme="minorHAnsi" w:cstheme="minorHAnsi"/>
        </w:rPr>
      </w:pPr>
      <w:r w:rsidRPr="00DA5613">
        <w:rPr>
          <w:rFonts w:asciiTheme="minorHAnsi" w:hAnsiTheme="minorHAnsi" w:cstheme="minorHAnsi"/>
        </w:rPr>
        <w:t>[</w:t>
      </w:r>
      <w:r w:rsidR="00027C59" w:rsidRPr="00DA5613">
        <w:rPr>
          <w:rFonts w:asciiTheme="minorHAnsi" w:hAnsiTheme="minorHAnsi" w:cstheme="minorHAnsi"/>
        </w:rPr>
        <w:t>The Attorney General’s Office</w:t>
      </w:r>
      <w:r w:rsidRPr="00DA5613">
        <w:rPr>
          <w:rFonts w:asciiTheme="minorHAnsi" w:hAnsiTheme="minorHAnsi" w:cstheme="minorHAnsi"/>
        </w:rPr>
        <w:t>] will pursue further legal action, including any available injunctive relief, costs and attorney’s fees, penalties, and sanctions—including contempt of court—available at law against any local jurisdiction and its employees that persist in enforcing local mask mandates in violation of GA-38 and any applicable court order.</w:t>
      </w:r>
    </w:p>
    <w:p w14:paraId="678831E1" w14:textId="77777777" w:rsidR="00EC0F84" w:rsidRDefault="00EC0F84" w:rsidP="00EC0F84">
      <w:pPr>
        <w:ind w:left="720" w:right="720"/>
        <w:rPr>
          <w:rFonts w:asciiTheme="minorHAnsi" w:hAnsiTheme="minorHAnsi" w:cstheme="minorHAnsi"/>
        </w:rPr>
      </w:pPr>
    </w:p>
    <w:p w14:paraId="2E30F657" w14:textId="1EDB9951" w:rsidR="00501344" w:rsidRPr="00DA5613" w:rsidRDefault="00EC0F84" w:rsidP="00254359">
      <w:pPr>
        <w:ind w:left="720" w:right="720"/>
        <w:rPr>
          <w:rFonts w:asciiTheme="minorHAnsi" w:hAnsiTheme="minorHAnsi" w:cstheme="minorHAnsi"/>
        </w:rPr>
      </w:pPr>
      <w:r>
        <w:t xml:space="preserve">[The Attorney General] request your acknowledgement by 5 p.m. Tuesday, August 17, that in light of the Court’s rulings, you will rescind your local policy requiring masks in public schools or, alternatively, not enforce it pending the Supreme Court’s disposition of the cases before it involving this issue. Otherwise, you will face </w:t>
      </w:r>
      <w:r w:rsidRPr="00A44A9C">
        <w:rPr>
          <w:b/>
          <w:bCs/>
          <w:i/>
          <w:iCs/>
        </w:rPr>
        <w:t xml:space="preserve">legal action taken by my office to enforce the Governor’s order </w:t>
      </w:r>
      <w:r>
        <w:t xml:space="preserve">and protect the rule of law. </w:t>
      </w:r>
      <w:r w:rsidR="0087070A" w:rsidRPr="00DA5613">
        <w:rPr>
          <w:rStyle w:val="FootnoteReference"/>
          <w:rFonts w:asciiTheme="minorHAnsi" w:hAnsiTheme="minorHAnsi" w:cstheme="minorHAnsi"/>
        </w:rPr>
        <w:footnoteReference w:id="37"/>
      </w:r>
    </w:p>
    <w:p w14:paraId="61B69CA8" w14:textId="35A4BFFC" w:rsidR="0087070A" w:rsidRPr="00DA5613" w:rsidRDefault="0087070A" w:rsidP="00254359">
      <w:pPr>
        <w:ind w:right="720"/>
        <w:rPr>
          <w:rFonts w:asciiTheme="minorHAnsi" w:hAnsiTheme="minorHAnsi" w:cstheme="minorHAnsi"/>
        </w:rPr>
      </w:pPr>
    </w:p>
    <w:p w14:paraId="7A96CAD5" w14:textId="7A4D53E6" w:rsidR="00B70ABE" w:rsidRPr="00DA5613" w:rsidRDefault="00A10DB8" w:rsidP="00254359">
      <w:pPr>
        <w:spacing w:line="480" w:lineRule="auto"/>
        <w:rPr>
          <w:rFonts w:asciiTheme="minorHAnsi" w:hAnsiTheme="minorHAnsi" w:cstheme="minorHAnsi"/>
        </w:rPr>
      </w:pPr>
      <w:r w:rsidRPr="00DA5613">
        <w:rPr>
          <w:rFonts w:asciiTheme="minorHAnsi" w:hAnsiTheme="minorHAnsi" w:cstheme="minorHAnsi"/>
        </w:rPr>
        <w:t>And indeed, the very purpose of these letters is to induce school districts to either rescind their mask policies or not enforce them</w:t>
      </w:r>
      <w:r w:rsidR="002833A9">
        <w:rPr>
          <w:rFonts w:asciiTheme="minorHAnsi" w:hAnsiTheme="minorHAnsi" w:cstheme="minorHAnsi"/>
        </w:rPr>
        <w:t xml:space="preserve">.  </w:t>
      </w:r>
      <w:r w:rsidRPr="00DA5613">
        <w:rPr>
          <w:rFonts w:asciiTheme="minorHAnsi" w:hAnsiTheme="minorHAnsi" w:cstheme="minorHAnsi"/>
        </w:rPr>
        <w:t xml:space="preserve">Ex. </w:t>
      </w:r>
      <w:r w:rsidR="00E52737">
        <w:rPr>
          <w:rFonts w:asciiTheme="minorHAnsi" w:hAnsiTheme="minorHAnsi" w:cstheme="minorHAnsi"/>
        </w:rPr>
        <w:t>161</w:t>
      </w:r>
      <w:r w:rsidRPr="00DA5613">
        <w:rPr>
          <w:rFonts w:asciiTheme="minorHAnsi" w:hAnsiTheme="minorHAnsi" w:cstheme="minorHAnsi"/>
        </w:rPr>
        <w:t xml:space="preserve"> at 38:5-12 (A. Kinghorn Depo)</w:t>
      </w:r>
      <w:r w:rsidR="002833A9">
        <w:rPr>
          <w:rFonts w:asciiTheme="minorHAnsi" w:hAnsiTheme="minorHAnsi" w:cstheme="minorHAnsi"/>
        </w:rPr>
        <w:t xml:space="preserve">.  </w:t>
      </w:r>
      <w:r w:rsidR="0087070A" w:rsidRPr="00DA5613">
        <w:rPr>
          <w:rFonts w:asciiTheme="minorHAnsi" w:hAnsiTheme="minorHAnsi" w:cstheme="minorHAnsi"/>
        </w:rPr>
        <w:t xml:space="preserve">These form letters have been sent to at least 70 local school districts according to Defendant Paxton’s </w:t>
      </w:r>
      <w:r w:rsidR="00027C59" w:rsidRPr="00DA5613">
        <w:rPr>
          <w:rFonts w:asciiTheme="minorHAnsi" w:hAnsiTheme="minorHAnsi" w:cstheme="minorHAnsi"/>
        </w:rPr>
        <w:t>List of Noncompliant Entities</w:t>
      </w:r>
      <w:r w:rsidR="002833A9">
        <w:rPr>
          <w:rFonts w:asciiTheme="minorHAnsi" w:hAnsiTheme="minorHAnsi" w:cstheme="minorHAnsi"/>
        </w:rPr>
        <w:t xml:space="preserve">.  </w:t>
      </w:r>
      <w:r w:rsidR="0087070A" w:rsidRPr="00DA5613">
        <w:rPr>
          <w:rFonts w:asciiTheme="minorHAnsi" w:hAnsiTheme="minorHAnsi" w:cstheme="minorHAnsi"/>
        </w:rPr>
        <w:t xml:space="preserve">Ex. </w:t>
      </w:r>
      <w:r w:rsidR="00E52737">
        <w:rPr>
          <w:rFonts w:asciiTheme="minorHAnsi" w:hAnsiTheme="minorHAnsi" w:cstheme="minorHAnsi"/>
        </w:rPr>
        <w:t>12</w:t>
      </w:r>
      <w:r w:rsidR="0087070A" w:rsidRPr="00DA5613">
        <w:rPr>
          <w:rFonts w:asciiTheme="minorHAnsi" w:hAnsiTheme="minorHAnsi" w:cstheme="minorHAnsi"/>
        </w:rPr>
        <w:t xml:space="preserve"> </w:t>
      </w:r>
      <w:r w:rsidR="000838B4" w:rsidRPr="00DA5613">
        <w:rPr>
          <w:rFonts w:asciiTheme="minorHAnsi" w:hAnsiTheme="minorHAnsi" w:cstheme="minorHAnsi"/>
        </w:rPr>
        <w:t xml:space="preserve">at 1 </w:t>
      </w:r>
      <w:r w:rsidR="0087070A" w:rsidRPr="00DA5613">
        <w:rPr>
          <w:rFonts w:asciiTheme="minorHAnsi" w:hAnsiTheme="minorHAnsi" w:cstheme="minorHAnsi"/>
        </w:rPr>
        <w:t>(AG Paxton’s COVID-19 List of Noncompliant Entities as of September 22, 2021).</w:t>
      </w:r>
      <w:r w:rsidR="000838B4" w:rsidRPr="00DA5613">
        <w:rPr>
          <w:rFonts w:asciiTheme="minorHAnsi" w:hAnsiTheme="minorHAnsi" w:cstheme="minorHAnsi"/>
        </w:rPr>
        <w:t xml:space="preserve"> </w:t>
      </w:r>
      <w:r w:rsidR="00EC0F84">
        <w:rPr>
          <w:rFonts w:asciiTheme="minorHAnsi" w:hAnsiTheme="minorHAnsi" w:cstheme="minorHAnsi"/>
        </w:rPr>
        <w:t xml:space="preserve"> In addition, as discussed below, Defendant Paxton followed up on his letters’ threat “to enforce the Governor’s order” and sued school districts, including Round Rock ISD and Richardson ISD.</w:t>
      </w:r>
    </w:p>
    <w:p w14:paraId="6C6185B3" w14:textId="0398A98D" w:rsidR="00C5502D" w:rsidRPr="00DA5613" w:rsidRDefault="00027C59" w:rsidP="00254359">
      <w:pPr>
        <w:spacing w:line="480" w:lineRule="auto"/>
        <w:ind w:firstLine="720"/>
        <w:rPr>
          <w:rFonts w:asciiTheme="minorHAnsi" w:hAnsiTheme="minorHAnsi" w:cstheme="minorHAnsi"/>
        </w:rPr>
      </w:pPr>
      <w:r w:rsidRPr="00DA5613">
        <w:rPr>
          <w:rFonts w:asciiTheme="minorHAnsi" w:hAnsiTheme="minorHAnsi" w:cstheme="minorHAnsi"/>
        </w:rPr>
        <w:t>T</w:t>
      </w:r>
      <w:r w:rsidR="00B70ABE" w:rsidRPr="00DA5613">
        <w:rPr>
          <w:rFonts w:asciiTheme="minorHAnsi" w:hAnsiTheme="minorHAnsi" w:cstheme="minorHAnsi"/>
        </w:rPr>
        <w:t>he letters</w:t>
      </w:r>
      <w:r w:rsidR="00BB714F" w:rsidRPr="00DA5613">
        <w:rPr>
          <w:rFonts w:asciiTheme="minorHAnsi" w:hAnsiTheme="minorHAnsi" w:cstheme="minorHAnsi"/>
        </w:rPr>
        <w:t>, the List of Noncompliant Entities,</w:t>
      </w:r>
      <w:r w:rsidR="00B70ABE" w:rsidRPr="00DA5613">
        <w:rPr>
          <w:rFonts w:asciiTheme="minorHAnsi" w:hAnsiTheme="minorHAnsi" w:cstheme="minorHAnsi"/>
        </w:rPr>
        <w:t xml:space="preserve"> and </w:t>
      </w:r>
      <w:r w:rsidRPr="00DA5613">
        <w:rPr>
          <w:rFonts w:asciiTheme="minorHAnsi" w:hAnsiTheme="minorHAnsi" w:cstheme="minorHAnsi"/>
        </w:rPr>
        <w:t xml:space="preserve">the </w:t>
      </w:r>
      <w:r w:rsidR="00B70ABE" w:rsidRPr="00DA5613">
        <w:rPr>
          <w:rFonts w:asciiTheme="minorHAnsi" w:hAnsiTheme="minorHAnsi" w:cstheme="minorHAnsi"/>
        </w:rPr>
        <w:t>litany of lawsuits have achieved their desired effect in many cases</w:t>
      </w:r>
      <w:r w:rsidR="00C5502D" w:rsidRPr="00DA5613">
        <w:rPr>
          <w:rFonts w:asciiTheme="minorHAnsi" w:hAnsiTheme="minorHAnsi" w:cstheme="minorHAnsi"/>
        </w:rPr>
        <w:t>, including with respect to the school districts in which Plaintiffs are enrolled: Fort Bend ISD</w:t>
      </w:r>
      <w:r w:rsidR="002D6FE2">
        <w:rPr>
          <w:rFonts w:asciiTheme="minorHAnsi" w:hAnsiTheme="minorHAnsi" w:cstheme="minorHAnsi"/>
        </w:rPr>
        <w:t xml:space="preserve"> </w:t>
      </w:r>
      <w:r w:rsidR="00C5502D" w:rsidRPr="00DA5613">
        <w:rPr>
          <w:rFonts w:asciiTheme="minorHAnsi" w:hAnsiTheme="minorHAnsi" w:cstheme="minorHAnsi"/>
        </w:rPr>
        <w:t xml:space="preserve">and Killeen ISD. </w:t>
      </w:r>
    </w:p>
    <w:p w14:paraId="745302F5" w14:textId="7F8645B6" w:rsidR="00C5502D" w:rsidRPr="00DA5613" w:rsidRDefault="00C5502D" w:rsidP="00254359">
      <w:pPr>
        <w:spacing w:line="480" w:lineRule="auto"/>
        <w:ind w:firstLine="720"/>
        <w:rPr>
          <w:rFonts w:asciiTheme="minorHAnsi" w:hAnsiTheme="minorHAnsi" w:cstheme="minorHAnsi"/>
        </w:rPr>
      </w:pPr>
      <w:r w:rsidRPr="00DA5613">
        <w:rPr>
          <w:rFonts w:asciiTheme="minorHAnsi" w:hAnsiTheme="minorHAnsi" w:cstheme="minorHAnsi"/>
        </w:rPr>
        <w:t>With respect to Fort Bend ISD, the Office’s enforcement efforts have been successful</w:t>
      </w:r>
      <w:r w:rsidR="002833A9">
        <w:rPr>
          <w:rFonts w:asciiTheme="minorHAnsi" w:hAnsiTheme="minorHAnsi" w:cstheme="minorHAnsi"/>
        </w:rPr>
        <w:t xml:space="preserve">.  </w:t>
      </w:r>
      <w:r w:rsidRPr="00DA5613">
        <w:rPr>
          <w:rFonts w:asciiTheme="minorHAnsi" w:hAnsiTheme="minorHAnsi" w:cstheme="minorHAnsi"/>
        </w:rPr>
        <w:t>Due to GA-38, Fort Bend ISD did not implement a mask mandate for the first day of school on August 11, 2021</w:t>
      </w:r>
      <w:r w:rsidR="002833A9">
        <w:rPr>
          <w:rFonts w:asciiTheme="minorHAnsi" w:hAnsiTheme="minorHAnsi" w:cstheme="minorHAnsi"/>
        </w:rPr>
        <w:t xml:space="preserve">.  </w:t>
      </w:r>
      <w:r w:rsidRPr="00DA5613">
        <w:rPr>
          <w:rFonts w:asciiTheme="minorHAnsi" w:hAnsiTheme="minorHAnsi" w:cstheme="minorHAnsi"/>
        </w:rPr>
        <w:t xml:space="preserve">Ex. </w:t>
      </w:r>
      <w:r w:rsidR="00E52737">
        <w:rPr>
          <w:rFonts w:asciiTheme="minorHAnsi" w:hAnsiTheme="minorHAnsi" w:cstheme="minorHAnsi"/>
        </w:rPr>
        <w:t>22</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11 (Declaration of Denetta Williams, Member of Board of Trustees at Fort Bend ISD)</w:t>
      </w:r>
      <w:r w:rsidR="002833A9">
        <w:rPr>
          <w:rFonts w:asciiTheme="minorHAnsi" w:hAnsiTheme="minorHAnsi" w:cstheme="minorHAnsi"/>
        </w:rPr>
        <w:t xml:space="preserve">.  </w:t>
      </w:r>
      <w:r w:rsidRPr="00DA5613">
        <w:rPr>
          <w:rFonts w:asciiTheme="minorHAnsi" w:hAnsiTheme="minorHAnsi" w:cstheme="minorHAnsi"/>
        </w:rPr>
        <w:t>Between August 7 and 17, 548 students reported positive COVID-19 cases</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13</w:t>
      </w:r>
      <w:r w:rsidR="002833A9">
        <w:rPr>
          <w:rFonts w:asciiTheme="minorHAnsi" w:hAnsiTheme="minorHAnsi" w:cstheme="minorHAnsi"/>
        </w:rPr>
        <w:t xml:space="preserve">.  </w:t>
      </w:r>
      <w:r w:rsidRPr="00DA5613">
        <w:rPr>
          <w:rFonts w:asciiTheme="minorHAnsi" w:hAnsiTheme="minorHAnsi" w:cstheme="minorHAnsi"/>
        </w:rPr>
        <w:t>On August 23, Fort Bend ISD temporarily closed Pecan Grove Elementary due to a COVID-19 outbreak</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 xml:space="preserve">, ¶ </w:t>
      </w:r>
      <w:r w:rsidRPr="00DA5613">
        <w:rPr>
          <w:rFonts w:asciiTheme="minorHAnsi" w:hAnsiTheme="minorHAnsi" w:cstheme="minorHAnsi"/>
        </w:rPr>
        <w:t>14</w:t>
      </w:r>
      <w:r w:rsidR="002833A9">
        <w:rPr>
          <w:rFonts w:asciiTheme="minorHAnsi" w:hAnsiTheme="minorHAnsi" w:cstheme="minorHAnsi"/>
        </w:rPr>
        <w:t xml:space="preserve">.  </w:t>
      </w:r>
      <w:r w:rsidRPr="00DA5613">
        <w:rPr>
          <w:rFonts w:asciiTheme="minorHAnsi" w:hAnsiTheme="minorHAnsi" w:cstheme="minorHAnsi"/>
        </w:rPr>
        <w:t>On that same day, Fort Bend ISD held a board meeting focused on reviewing the toll of the pandemic on its community, during which it listened to statements from doctors about the impact of the Delta variant, and from parents worried about their children’s health and safety</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16</w:t>
      </w:r>
      <w:r w:rsidR="002833A9">
        <w:rPr>
          <w:rFonts w:asciiTheme="minorHAnsi" w:hAnsiTheme="minorHAnsi" w:cstheme="minorHAnsi"/>
        </w:rPr>
        <w:t xml:space="preserve">.  </w:t>
      </w:r>
      <w:r w:rsidRPr="00DA5613">
        <w:rPr>
          <w:rFonts w:asciiTheme="minorHAnsi" w:hAnsiTheme="minorHAnsi" w:cstheme="minorHAnsi"/>
        </w:rPr>
        <w:t>At the conclusion of the meeting, Fort Bend ISD’s Board of Trustees passed a mask mandate that took effect on August 26, 2021</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17</w:t>
      </w:r>
      <w:r w:rsidR="002833A9">
        <w:rPr>
          <w:rFonts w:asciiTheme="minorHAnsi" w:hAnsiTheme="minorHAnsi" w:cstheme="minorHAnsi"/>
        </w:rPr>
        <w:t xml:space="preserve">.  </w:t>
      </w:r>
      <w:r w:rsidRPr="00DA5613">
        <w:rPr>
          <w:rFonts w:asciiTheme="minorHAnsi" w:hAnsiTheme="minorHAnsi" w:cstheme="minorHAnsi"/>
        </w:rPr>
        <w:t xml:space="preserve">On August 28, 2021, however, Fort Bend ISD decided to stop enforcing its mask policy </w:t>
      </w:r>
      <w:r w:rsidR="00311485">
        <w:rPr>
          <w:rFonts w:asciiTheme="minorHAnsi" w:hAnsiTheme="minorHAnsi" w:cstheme="minorHAnsi"/>
        </w:rPr>
        <w:t>because</w:t>
      </w:r>
      <w:r w:rsidRPr="00DA5613">
        <w:rPr>
          <w:rFonts w:asciiTheme="minorHAnsi" w:hAnsiTheme="minorHAnsi" w:cstheme="minorHAnsi"/>
        </w:rPr>
        <w:t xml:space="preserve"> the Office of the Attorney General was successful in its enforcement of Executive Order GA-38 through litigation</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19-20.  </w:t>
      </w:r>
    </w:p>
    <w:p w14:paraId="2FA5769A" w14:textId="5D2D596B" w:rsidR="00C5502D" w:rsidRPr="00DA5613" w:rsidRDefault="00C5502D" w:rsidP="00254359">
      <w:pPr>
        <w:spacing w:line="480" w:lineRule="auto"/>
        <w:ind w:firstLine="720"/>
        <w:rPr>
          <w:rFonts w:asciiTheme="minorHAnsi" w:hAnsiTheme="minorHAnsi" w:cstheme="minorHAnsi"/>
        </w:rPr>
      </w:pPr>
      <w:r w:rsidRPr="00DA5613">
        <w:rPr>
          <w:rFonts w:asciiTheme="minorHAnsi" w:hAnsiTheme="minorHAnsi" w:cstheme="minorHAnsi"/>
        </w:rPr>
        <w:t>With respect to Round Rock ISD, the Office’s efforts have been partially successful</w:t>
      </w:r>
      <w:r w:rsidR="002833A9">
        <w:rPr>
          <w:rFonts w:asciiTheme="minorHAnsi" w:hAnsiTheme="minorHAnsi" w:cstheme="minorHAnsi"/>
        </w:rPr>
        <w:t xml:space="preserve">.  </w:t>
      </w:r>
      <w:r w:rsidRPr="00DA5613">
        <w:rPr>
          <w:rFonts w:asciiTheme="minorHAnsi" w:hAnsiTheme="minorHAnsi" w:cstheme="minorHAnsi"/>
        </w:rPr>
        <w:t>On September 9, 2021, Defendant Paxton sued Round Rock ISD for its August 18 mask mandate applying to students, teachers, staff members, and adult visitors</w:t>
      </w:r>
      <w:r w:rsidR="002833A9">
        <w:rPr>
          <w:rFonts w:asciiTheme="minorHAnsi" w:hAnsiTheme="minorHAnsi" w:cstheme="minorHAnsi"/>
        </w:rPr>
        <w:t xml:space="preserve">.  </w:t>
      </w:r>
      <w:r w:rsidRPr="00DA5613">
        <w:rPr>
          <w:rFonts w:asciiTheme="minorHAnsi" w:hAnsiTheme="minorHAnsi" w:cstheme="minorHAnsi"/>
        </w:rPr>
        <w:t xml:space="preserve">Ex. </w:t>
      </w:r>
      <w:r w:rsidR="00E52737">
        <w:rPr>
          <w:rFonts w:asciiTheme="minorHAnsi" w:hAnsiTheme="minorHAnsi" w:cstheme="minorHAnsi"/>
        </w:rPr>
        <w:t>33</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29-30 (OAG Lawsuit against Round Rock)</w:t>
      </w:r>
      <w:r w:rsidR="002833A9">
        <w:rPr>
          <w:rFonts w:asciiTheme="minorHAnsi" w:hAnsiTheme="minorHAnsi" w:cstheme="minorHAnsi"/>
        </w:rPr>
        <w:t xml:space="preserve">.  </w:t>
      </w:r>
      <w:r w:rsidRPr="00DA5613">
        <w:rPr>
          <w:rFonts w:asciiTheme="minorHAnsi" w:hAnsiTheme="minorHAnsi" w:cstheme="minorHAnsi"/>
        </w:rPr>
        <w:t xml:space="preserve">On September 14, a Williamson County judge granted, </w:t>
      </w:r>
      <w:r w:rsidRPr="00DA5613">
        <w:rPr>
          <w:rFonts w:asciiTheme="minorHAnsi" w:hAnsiTheme="minorHAnsi" w:cstheme="minorHAnsi"/>
          <w:i/>
          <w:iCs/>
        </w:rPr>
        <w:t>ex parte</w:t>
      </w:r>
      <w:r w:rsidRPr="00DA5613">
        <w:rPr>
          <w:rFonts w:asciiTheme="minorHAnsi" w:hAnsiTheme="minorHAnsi" w:cstheme="minorHAnsi"/>
        </w:rPr>
        <w:t>, the State of Texas’ Motion for Temporary Restraining Order and entered an order prohibiting Round Rock ISD “from enforcing a facemask mandate for as long as GA-38 (or a future executive order containing the same prohibitions) remain in effect</w:t>
      </w:r>
      <w:r w:rsidR="00DE6B57">
        <w:rPr>
          <w:rFonts w:asciiTheme="minorHAnsi" w:hAnsiTheme="minorHAnsi" w:cstheme="minorHAnsi"/>
        </w:rPr>
        <w:t xml:space="preserve">.”  </w:t>
      </w:r>
      <w:r w:rsidRPr="00DA5613">
        <w:rPr>
          <w:rFonts w:asciiTheme="minorHAnsi" w:hAnsiTheme="minorHAnsi" w:cstheme="minorHAnsi"/>
        </w:rPr>
        <w:t xml:space="preserve">Ex. </w:t>
      </w:r>
      <w:r w:rsidR="00E52737">
        <w:rPr>
          <w:rFonts w:asciiTheme="minorHAnsi" w:hAnsiTheme="minorHAnsi" w:cstheme="minorHAnsi"/>
        </w:rPr>
        <w:t>34</w:t>
      </w:r>
      <w:r w:rsidRPr="00DA5613">
        <w:rPr>
          <w:rFonts w:asciiTheme="minorHAnsi" w:hAnsiTheme="minorHAnsi" w:cstheme="minorHAnsi"/>
        </w:rPr>
        <w:t xml:space="preserve"> at 2 (Order Granting State of Texas’s Application for a Temporary Restraining Order)</w:t>
      </w:r>
      <w:r w:rsidR="002833A9">
        <w:rPr>
          <w:rFonts w:asciiTheme="minorHAnsi" w:hAnsiTheme="minorHAnsi" w:cstheme="minorHAnsi"/>
        </w:rPr>
        <w:t xml:space="preserve">.  </w:t>
      </w:r>
      <w:r w:rsidRPr="00DA5613">
        <w:rPr>
          <w:rFonts w:asciiTheme="minorHAnsi" w:hAnsiTheme="minorHAnsi" w:cstheme="minorHAnsi"/>
        </w:rPr>
        <w:t>However, following a September 17 order from the Third District Court of Appeals staying the temporary restraining order, Round Rock ISD announced that it could “continue with its mask requirement” and planned to hold a Board of Trustees meeting to approve a recommendation to establish a “mask matrix” (which establishes different mask requirements based on various “risk levels”), which was subsequently approved on September 23</w:t>
      </w:r>
      <w:r w:rsidR="002833A9">
        <w:rPr>
          <w:rFonts w:asciiTheme="minorHAnsi" w:hAnsiTheme="minorHAnsi" w:cstheme="minorHAnsi"/>
        </w:rPr>
        <w:t xml:space="preserve">.  </w:t>
      </w:r>
      <w:r w:rsidRPr="00DA5613">
        <w:rPr>
          <w:rFonts w:asciiTheme="minorHAnsi" w:hAnsiTheme="minorHAnsi" w:cstheme="minorHAnsi"/>
        </w:rPr>
        <w:t xml:space="preserve">Ex. </w:t>
      </w:r>
      <w:r w:rsidR="00E52737">
        <w:rPr>
          <w:rFonts w:asciiTheme="minorHAnsi" w:hAnsiTheme="minorHAnsi" w:cstheme="minorHAnsi"/>
        </w:rPr>
        <w:t>36</w:t>
      </w:r>
      <w:r w:rsidRPr="00DA5613">
        <w:rPr>
          <w:rFonts w:asciiTheme="minorHAnsi" w:hAnsiTheme="minorHAnsi" w:cstheme="minorHAnsi"/>
        </w:rPr>
        <w:t xml:space="preserve"> (Order from the Court of Appeals for Stay in Round Rock ISD); Ex. </w:t>
      </w:r>
      <w:r w:rsidR="00E52737">
        <w:rPr>
          <w:rFonts w:asciiTheme="minorHAnsi" w:hAnsiTheme="minorHAnsi" w:cstheme="minorHAnsi"/>
        </w:rPr>
        <w:t>37</w:t>
      </w:r>
      <w:r w:rsidRPr="00DA5613">
        <w:rPr>
          <w:rFonts w:asciiTheme="minorHAnsi" w:hAnsiTheme="minorHAnsi" w:cstheme="minorHAnsi"/>
        </w:rPr>
        <w:t xml:space="preserve"> (September 17 Round Rock ISD Announcement); Ex. </w:t>
      </w:r>
      <w:r w:rsidR="00E52737">
        <w:rPr>
          <w:rFonts w:asciiTheme="minorHAnsi" w:hAnsiTheme="minorHAnsi" w:cstheme="minorHAnsi"/>
        </w:rPr>
        <w:t>38</w:t>
      </w:r>
      <w:r w:rsidRPr="00DA5613">
        <w:rPr>
          <w:rFonts w:asciiTheme="minorHAnsi" w:hAnsiTheme="minorHAnsi" w:cstheme="minorHAnsi"/>
        </w:rPr>
        <w:t xml:space="preserve"> (September 23 Round Rock ISD Announcement). </w:t>
      </w:r>
    </w:p>
    <w:p w14:paraId="79C3C6B0" w14:textId="6291831F" w:rsidR="00C5502D" w:rsidRPr="00DA5613" w:rsidRDefault="00C5502D" w:rsidP="002833A9">
      <w:pPr>
        <w:spacing w:line="480" w:lineRule="auto"/>
        <w:ind w:firstLine="720"/>
        <w:jc w:val="both"/>
        <w:rPr>
          <w:rFonts w:asciiTheme="minorHAnsi" w:hAnsiTheme="minorHAnsi" w:cstheme="minorHAnsi"/>
        </w:rPr>
      </w:pPr>
      <w:r w:rsidRPr="00DA5613">
        <w:rPr>
          <w:rFonts w:asciiTheme="minorHAnsi" w:hAnsiTheme="minorHAnsi" w:cstheme="minorHAnsi"/>
        </w:rPr>
        <w:t>Defendant Paxton likewise sued Richardson ISD for violating Executive Order GA-38</w:t>
      </w:r>
      <w:r w:rsidR="000F412D">
        <w:rPr>
          <w:rFonts w:asciiTheme="minorHAnsi" w:hAnsiTheme="minorHAnsi" w:cstheme="minorHAnsi"/>
        </w:rPr>
        <w:t xml:space="preserve"> </w:t>
      </w:r>
      <w:r w:rsidRPr="00DA5613">
        <w:rPr>
          <w:rFonts w:asciiTheme="minorHAnsi" w:hAnsiTheme="minorHAnsi" w:cstheme="minorHAnsi"/>
        </w:rPr>
        <w:t>on September 13, 2021</w:t>
      </w:r>
      <w:r w:rsidR="002833A9">
        <w:rPr>
          <w:rFonts w:asciiTheme="minorHAnsi" w:hAnsiTheme="minorHAnsi" w:cstheme="minorHAnsi"/>
        </w:rPr>
        <w:t xml:space="preserve">.  </w:t>
      </w:r>
      <w:r w:rsidRPr="00DA5613">
        <w:rPr>
          <w:rFonts w:asciiTheme="minorHAnsi" w:hAnsiTheme="minorHAnsi" w:cstheme="minorHAnsi"/>
        </w:rPr>
        <w:t xml:space="preserve">Ex. </w:t>
      </w:r>
      <w:r w:rsidR="00E52737">
        <w:rPr>
          <w:rFonts w:asciiTheme="minorHAnsi" w:hAnsiTheme="minorHAnsi" w:cstheme="minorHAnsi"/>
        </w:rPr>
        <w:t>29</w:t>
      </w:r>
      <w:r w:rsidRPr="00DA5613">
        <w:rPr>
          <w:rFonts w:asciiTheme="minorHAnsi" w:hAnsiTheme="minorHAnsi" w:cstheme="minorHAnsi"/>
        </w:rPr>
        <w:t xml:space="preserve"> (Richardson ISD Petition)</w:t>
      </w:r>
      <w:r w:rsidR="002833A9">
        <w:rPr>
          <w:rFonts w:asciiTheme="minorHAnsi" w:hAnsiTheme="minorHAnsi" w:cstheme="minorHAnsi"/>
        </w:rPr>
        <w:t xml:space="preserve">.  </w:t>
      </w:r>
      <w:r w:rsidRPr="00DA5613">
        <w:rPr>
          <w:rFonts w:asciiTheme="minorHAnsi" w:hAnsiTheme="minorHAnsi" w:cstheme="minorHAnsi"/>
        </w:rPr>
        <w:t>In anticipation of starting the school year, Richardson ISD Superintendent Jeannie Stone announced on August 9 that the district reluctantly would not implement a mask mandate in compliance with GA-38</w:t>
      </w:r>
      <w:r w:rsidR="00590AE0">
        <w:rPr>
          <w:rFonts w:asciiTheme="minorHAnsi" w:hAnsiTheme="minorHAnsi" w:cstheme="minorHAnsi"/>
        </w:rPr>
        <w:t xml:space="preserve">. Ex. 27, </w:t>
      </w:r>
      <w:r w:rsidRPr="00DA5613">
        <w:rPr>
          <w:rFonts w:asciiTheme="minorHAnsi" w:hAnsiTheme="minorHAnsi" w:cstheme="minorHAnsi"/>
        </w:rPr>
        <w:t>¶ 10</w:t>
      </w:r>
      <w:r w:rsidR="00590AE0">
        <w:rPr>
          <w:rFonts w:asciiTheme="minorHAnsi" w:hAnsiTheme="minorHAnsi" w:cstheme="minorHAnsi"/>
        </w:rPr>
        <w:t xml:space="preserve"> (Declaration of Dr. Jeannie Stone)</w:t>
      </w:r>
      <w:r w:rsidRPr="00DA5613">
        <w:rPr>
          <w:rFonts w:asciiTheme="minorHAnsi" w:hAnsiTheme="minorHAnsi" w:cstheme="minorHAnsi"/>
        </w:rPr>
        <w:t xml:space="preserve">. </w:t>
      </w:r>
      <w:r w:rsidR="002833A9">
        <w:rPr>
          <w:rFonts w:asciiTheme="minorHAnsi" w:hAnsiTheme="minorHAnsi" w:cstheme="minorHAnsi"/>
        </w:rPr>
        <w:t xml:space="preserve"> But</w:t>
      </w:r>
      <w:r w:rsidRPr="00DA5613">
        <w:rPr>
          <w:rFonts w:asciiTheme="minorHAnsi" w:hAnsiTheme="minorHAnsi" w:cstheme="minorHAnsi"/>
        </w:rPr>
        <w:t xml:space="preserve"> on August 16, the day before in-person instruction began, Superintendent Stone advised the Richardson ISD community that a mask mandate would be implemented because GA-38’s enforceability had been challenged in court</w:t>
      </w:r>
      <w:r w:rsidR="002833A9">
        <w:rPr>
          <w:rFonts w:asciiTheme="minorHAnsi" w:hAnsiTheme="minorHAnsi" w:cstheme="minorHAnsi"/>
        </w:rPr>
        <w:t xml:space="preserve">.  </w:t>
      </w:r>
      <w:r w:rsidR="00590AE0" w:rsidRPr="00590AE0">
        <w:rPr>
          <w:rFonts w:asciiTheme="minorHAnsi" w:hAnsiTheme="minorHAnsi" w:cstheme="minorHAnsi"/>
          <w:i/>
          <w:iCs/>
        </w:rPr>
        <w:t>Id</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12-13 (Declaration of Dr. Jeannie Stone)</w:t>
      </w:r>
      <w:r w:rsidR="002833A9">
        <w:rPr>
          <w:rFonts w:asciiTheme="minorHAnsi" w:hAnsiTheme="minorHAnsi" w:cstheme="minorHAnsi"/>
        </w:rPr>
        <w:t xml:space="preserve">.  </w:t>
      </w:r>
      <w:r w:rsidRPr="00DA5613">
        <w:rPr>
          <w:rFonts w:asciiTheme="minorHAnsi" w:hAnsiTheme="minorHAnsi" w:cstheme="minorHAnsi"/>
        </w:rPr>
        <w:t>The school’s decision to mandate masks was made based on Richardson ISD’s review of the public health data in its community, including data about the increasing spread of the Delta variant among children and the absence of available pediatric ICU beds in the community at that time</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14</w:t>
      </w:r>
      <w:r w:rsidR="002833A9">
        <w:rPr>
          <w:rFonts w:asciiTheme="minorHAnsi" w:hAnsiTheme="minorHAnsi" w:cstheme="minorHAnsi"/>
        </w:rPr>
        <w:t xml:space="preserve">.  </w:t>
      </w:r>
      <w:r w:rsidRPr="00DA5613">
        <w:rPr>
          <w:rFonts w:asciiTheme="minorHAnsi" w:hAnsiTheme="minorHAnsi" w:cstheme="minorHAnsi"/>
        </w:rPr>
        <w:t>On September 10, Superintendent Stone learned that the Attorney General announced on Twitter that he would be suing Richardson ISD, which he did on September 13</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w:t>
      </w:r>
      <w:r w:rsidR="00590AE0">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20</w:t>
      </w:r>
      <w:r w:rsidR="002833A9">
        <w:rPr>
          <w:rFonts w:asciiTheme="minorHAnsi" w:hAnsiTheme="minorHAnsi" w:cstheme="minorHAnsi"/>
        </w:rPr>
        <w:t xml:space="preserve">.  </w:t>
      </w:r>
      <w:r w:rsidRPr="00DA5613">
        <w:rPr>
          <w:rFonts w:asciiTheme="minorHAnsi" w:hAnsiTheme="minorHAnsi" w:cstheme="minorHAnsi"/>
        </w:rPr>
        <w:t>Richardson ISD still has a mask mandate in place but will ultimately comply with any applicable court orders enforcing GA-38 regarding the use of masks in schools</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at 23</w:t>
      </w:r>
      <w:r w:rsidR="002833A9">
        <w:rPr>
          <w:rFonts w:asciiTheme="minorHAnsi" w:hAnsiTheme="minorHAnsi" w:cstheme="minorHAnsi"/>
        </w:rPr>
        <w:t xml:space="preserve">.  </w:t>
      </w:r>
      <w:r w:rsidRPr="00DA5613">
        <w:rPr>
          <w:rFonts w:asciiTheme="minorHAnsi" w:hAnsiTheme="minorHAnsi" w:cstheme="minorHAnsi"/>
        </w:rPr>
        <w:t>If the Attorney General were to stop enforcing GA-38 or should there be an order barring its enforcement, the district will implement mask requirements so long as student needs, local data on COVID-19 risk levels, and expert guidance shows that they are necessary</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xml:space="preserve">. </w:t>
      </w:r>
    </w:p>
    <w:p w14:paraId="66AA387C" w14:textId="5061FE94" w:rsidR="00C5502D" w:rsidRPr="00DA5613" w:rsidRDefault="00C5502D" w:rsidP="002833A9">
      <w:pPr>
        <w:spacing w:line="480" w:lineRule="auto"/>
        <w:ind w:firstLine="720"/>
        <w:jc w:val="both"/>
        <w:rPr>
          <w:rFonts w:asciiTheme="minorHAnsi" w:hAnsiTheme="minorHAnsi" w:cstheme="minorHAnsi"/>
        </w:rPr>
      </w:pPr>
      <w:r w:rsidRPr="00DA5613">
        <w:rPr>
          <w:rFonts w:asciiTheme="minorHAnsi" w:hAnsiTheme="minorHAnsi" w:cstheme="minorHAnsi"/>
        </w:rPr>
        <w:t>With respect to Leander ISD and Killeen ISD, both school districts are identified on Defendant Paxton’s list as having been “previously not in compliance” with Executive Order GA-38, but are “[n]ow in compliance.”</w:t>
      </w:r>
      <w:r w:rsidR="002833A9">
        <w:rPr>
          <w:rFonts w:asciiTheme="minorHAnsi" w:hAnsiTheme="minorHAnsi" w:cstheme="minorHAnsi"/>
        </w:rPr>
        <w:t xml:space="preserve"> </w:t>
      </w:r>
      <w:r w:rsidRPr="00DA5613">
        <w:rPr>
          <w:rFonts w:asciiTheme="minorHAnsi" w:hAnsiTheme="minorHAnsi" w:cstheme="minorHAnsi"/>
        </w:rPr>
        <w:t xml:space="preserve"> Ex. </w:t>
      </w:r>
      <w:r w:rsidR="00E52737">
        <w:rPr>
          <w:rFonts w:asciiTheme="minorHAnsi" w:hAnsiTheme="minorHAnsi" w:cstheme="minorHAnsi"/>
        </w:rPr>
        <w:t>12</w:t>
      </w:r>
      <w:r w:rsidRPr="00DA5613">
        <w:rPr>
          <w:rFonts w:asciiTheme="minorHAnsi" w:hAnsiTheme="minorHAnsi" w:cstheme="minorHAnsi"/>
        </w:rPr>
        <w:t xml:space="preserve"> (Defendant Paxton’s List of Noncompliant Entities). Edgewood ISD and San Antonio are listed as presently noncompliant and as having received letters from the Attorney General’s Office. </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xml:space="preserve">.  </w:t>
      </w:r>
    </w:p>
    <w:p w14:paraId="0AF6C86A" w14:textId="510469B1" w:rsidR="00C5502D" w:rsidRPr="00DA5613" w:rsidRDefault="00C5502D" w:rsidP="00E52737">
      <w:pPr>
        <w:spacing w:line="480" w:lineRule="auto"/>
        <w:ind w:firstLine="720"/>
        <w:rPr>
          <w:rFonts w:asciiTheme="minorHAnsi" w:hAnsiTheme="minorHAnsi" w:cstheme="minorHAnsi"/>
        </w:rPr>
      </w:pPr>
      <w:r w:rsidRPr="00DA5613">
        <w:rPr>
          <w:rFonts w:asciiTheme="minorHAnsi" w:hAnsiTheme="minorHAnsi" w:cstheme="minorHAnsi"/>
        </w:rPr>
        <w:t>Defendant Paxton’s enforcement efforts have also been successful with respect to other school districts aside from those in which Plaintiffs are enrolled</w:t>
      </w:r>
      <w:r w:rsidR="002833A9">
        <w:rPr>
          <w:rFonts w:asciiTheme="minorHAnsi" w:hAnsiTheme="minorHAnsi" w:cstheme="minorHAnsi"/>
        </w:rPr>
        <w:t xml:space="preserve">.  </w:t>
      </w:r>
      <w:r w:rsidR="00B70ABE" w:rsidRPr="00DA5613">
        <w:rPr>
          <w:rFonts w:asciiTheme="minorHAnsi" w:hAnsiTheme="minorHAnsi" w:cstheme="minorHAnsi"/>
        </w:rPr>
        <w:t>For example, as of August 23, 2021, Calvert ISD required that all students and staff wear masks in their buildings as a public health and safety measure</w:t>
      </w:r>
      <w:r w:rsidR="002833A9">
        <w:rPr>
          <w:rFonts w:asciiTheme="minorHAnsi" w:hAnsiTheme="minorHAnsi" w:cstheme="minorHAnsi"/>
        </w:rPr>
        <w:t xml:space="preserve">.  </w:t>
      </w:r>
      <w:r w:rsidR="00B70ABE" w:rsidRPr="00DA5613">
        <w:rPr>
          <w:rFonts w:asciiTheme="minorHAnsi" w:hAnsiTheme="minorHAnsi" w:cstheme="minorHAnsi"/>
        </w:rPr>
        <w:t xml:space="preserve">See Ex. </w:t>
      </w:r>
      <w:r w:rsidR="00E52737">
        <w:rPr>
          <w:rFonts w:asciiTheme="minorHAnsi" w:hAnsiTheme="minorHAnsi" w:cstheme="minorHAnsi"/>
        </w:rPr>
        <w:t>102</w:t>
      </w:r>
      <w:r w:rsidR="00B70ABE" w:rsidRPr="00DA5613">
        <w:rPr>
          <w:rFonts w:asciiTheme="minorHAnsi" w:hAnsiTheme="minorHAnsi" w:cstheme="minorHAnsi"/>
        </w:rPr>
        <w:t xml:space="preserve"> (Calvert ISD Public Records)</w:t>
      </w:r>
      <w:r w:rsidR="002833A9">
        <w:rPr>
          <w:rFonts w:asciiTheme="minorHAnsi" w:hAnsiTheme="minorHAnsi" w:cstheme="minorHAnsi"/>
        </w:rPr>
        <w:t xml:space="preserve">.  </w:t>
      </w:r>
      <w:r w:rsidR="000838B4" w:rsidRPr="00DA5613">
        <w:rPr>
          <w:rFonts w:asciiTheme="minorHAnsi" w:hAnsiTheme="minorHAnsi" w:cstheme="minorHAnsi"/>
        </w:rPr>
        <w:t xml:space="preserve">On September 3, 2021, Austin Kinghorn, </w:t>
      </w:r>
      <w:r w:rsidR="00BE7D7F" w:rsidRPr="00DA5613">
        <w:rPr>
          <w:rFonts w:asciiTheme="minorHAnsi" w:hAnsiTheme="minorHAnsi" w:cstheme="minorHAnsi"/>
        </w:rPr>
        <w:t>as General Counsel for</w:t>
      </w:r>
      <w:r w:rsidR="000838B4" w:rsidRPr="00DA5613">
        <w:rPr>
          <w:rFonts w:asciiTheme="minorHAnsi" w:hAnsiTheme="minorHAnsi" w:cstheme="minorHAnsi"/>
        </w:rPr>
        <w:t xml:space="preserve"> the Office of the Attorney General, </w:t>
      </w:r>
      <w:r w:rsidR="00027C59" w:rsidRPr="00DA5613">
        <w:rPr>
          <w:rFonts w:asciiTheme="minorHAnsi" w:hAnsiTheme="minorHAnsi" w:cstheme="minorHAnsi"/>
        </w:rPr>
        <w:t>submitted the Office’s form letter to</w:t>
      </w:r>
      <w:r w:rsidR="000838B4" w:rsidRPr="00DA5613">
        <w:rPr>
          <w:rFonts w:asciiTheme="minorHAnsi" w:hAnsiTheme="minorHAnsi" w:cstheme="minorHAnsi"/>
        </w:rPr>
        <w:t xml:space="preserve"> Calvert ISD Superintendent Thyrun Hurst threatening legal action and requesting that the school rescind its mask policy</w:t>
      </w:r>
      <w:r w:rsidR="002833A9">
        <w:rPr>
          <w:rFonts w:asciiTheme="minorHAnsi" w:hAnsiTheme="minorHAnsi" w:cstheme="minorHAnsi"/>
        </w:rPr>
        <w:t xml:space="preserve">.  </w:t>
      </w:r>
      <w:r w:rsidR="000838B4" w:rsidRPr="00DA5613">
        <w:rPr>
          <w:rFonts w:asciiTheme="minorHAnsi" w:hAnsiTheme="minorHAnsi" w:cstheme="minorHAnsi"/>
          <w:i/>
          <w:iCs/>
        </w:rPr>
        <w:t>Id</w:t>
      </w:r>
      <w:r w:rsidR="000838B4" w:rsidRPr="00DA5613">
        <w:rPr>
          <w:rFonts w:asciiTheme="minorHAnsi" w:hAnsiTheme="minorHAnsi" w:cstheme="minorHAnsi"/>
        </w:rPr>
        <w:t>. at 2, 4-5</w:t>
      </w:r>
      <w:r w:rsidR="002833A9">
        <w:rPr>
          <w:rFonts w:asciiTheme="minorHAnsi" w:hAnsiTheme="minorHAnsi" w:cstheme="minorHAnsi"/>
        </w:rPr>
        <w:t xml:space="preserve">.  </w:t>
      </w:r>
      <w:r w:rsidR="000838B4" w:rsidRPr="00DA5613">
        <w:rPr>
          <w:rFonts w:asciiTheme="minorHAnsi" w:hAnsiTheme="minorHAnsi" w:cstheme="minorHAnsi"/>
        </w:rPr>
        <w:t>On September 7, 2021, Calvert ISD informed its faculty that it could no longer mandate mask</w:t>
      </w:r>
      <w:r w:rsidR="00027C59" w:rsidRPr="00DA5613">
        <w:rPr>
          <w:rFonts w:asciiTheme="minorHAnsi" w:hAnsiTheme="minorHAnsi" w:cstheme="minorHAnsi"/>
        </w:rPr>
        <w:t>s and, o</w:t>
      </w:r>
      <w:r w:rsidR="000838B4" w:rsidRPr="00DA5613">
        <w:rPr>
          <w:rFonts w:asciiTheme="minorHAnsi" w:hAnsiTheme="minorHAnsi" w:cstheme="minorHAnsi"/>
        </w:rPr>
        <w:t>n that same day, Superintendent Hurst emailed a response to Mr. Kinghorn stating that</w:t>
      </w:r>
      <w:r w:rsidR="00E02223" w:rsidRPr="00DA5613">
        <w:rPr>
          <w:rFonts w:asciiTheme="minorHAnsi" w:hAnsiTheme="minorHAnsi" w:cstheme="minorHAnsi"/>
        </w:rPr>
        <w:t>:</w:t>
      </w:r>
      <w:r w:rsidR="000838B4" w:rsidRPr="00DA5613">
        <w:rPr>
          <w:rFonts w:asciiTheme="minorHAnsi" w:hAnsiTheme="minorHAnsi" w:cstheme="minorHAnsi"/>
        </w:rPr>
        <w:t xml:space="preserve"> </w:t>
      </w:r>
    </w:p>
    <w:p w14:paraId="0D79D5C8" w14:textId="12B187EE" w:rsidR="00E02223" w:rsidRPr="00DA5613" w:rsidRDefault="00E02223" w:rsidP="00254359">
      <w:pPr>
        <w:ind w:left="720" w:right="720"/>
        <w:rPr>
          <w:rFonts w:asciiTheme="minorHAnsi" w:hAnsiTheme="minorHAnsi" w:cstheme="minorHAnsi"/>
        </w:rPr>
      </w:pPr>
      <w:r w:rsidRPr="00DA5613">
        <w:rPr>
          <w:rFonts w:asciiTheme="minorHAnsi" w:hAnsiTheme="minorHAnsi" w:cstheme="minorHAnsi"/>
        </w:rPr>
        <w:t>The district has taken the proper steps to rescind the mandate</w:t>
      </w:r>
      <w:r w:rsidR="002833A9">
        <w:rPr>
          <w:rFonts w:asciiTheme="minorHAnsi" w:hAnsiTheme="minorHAnsi" w:cstheme="minorHAnsi"/>
        </w:rPr>
        <w:t xml:space="preserve">.  </w:t>
      </w:r>
      <w:r w:rsidRPr="00DA5613">
        <w:rPr>
          <w:rFonts w:asciiTheme="minorHAnsi" w:hAnsiTheme="minorHAnsi" w:cstheme="minorHAnsi"/>
        </w:rPr>
        <w:t>The Calvert ISD website has been changed, announcements are being made and the teacher staff has been informed that we can no longer mandate masks but certainly has the rights to encourage the students to wear masks for the safety of themselves and others</w:t>
      </w:r>
      <w:r w:rsidR="002833A9">
        <w:rPr>
          <w:rFonts w:asciiTheme="minorHAnsi" w:hAnsiTheme="minorHAnsi" w:cstheme="minorHAnsi"/>
        </w:rPr>
        <w:t xml:space="preserve">.  </w:t>
      </w:r>
      <w:r w:rsidRPr="00DA5613">
        <w:rPr>
          <w:rFonts w:asciiTheme="minorHAnsi" w:hAnsiTheme="minorHAnsi" w:cstheme="minorHAnsi"/>
        </w:rPr>
        <w:t>Please let me know if other steps are necessary in order to rescind the mandate.</w:t>
      </w:r>
    </w:p>
    <w:p w14:paraId="769531FA" w14:textId="77777777" w:rsidR="00CC0CC5" w:rsidRPr="00DA5613" w:rsidRDefault="00CC0CC5" w:rsidP="00254359">
      <w:pPr>
        <w:ind w:left="720" w:right="720"/>
        <w:rPr>
          <w:rFonts w:asciiTheme="minorHAnsi" w:hAnsiTheme="minorHAnsi" w:cstheme="minorHAnsi"/>
        </w:rPr>
      </w:pPr>
    </w:p>
    <w:p w14:paraId="3F305451" w14:textId="31AC2AB2" w:rsidR="00E02223" w:rsidRPr="00DA5613" w:rsidRDefault="00E02223" w:rsidP="002833A9">
      <w:pPr>
        <w:spacing w:line="480" w:lineRule="auto"/>
        <w:jc w:val="both"/>
        <w:rPr>
          <w:rFonts w:asciiTheme="minorHAnsi" w:hAnsiTheme="minorHAnsi" w:cstheme="minorHAnsi"/>
        </w:rPr>
      </w:pPr>
      <w:r w:rsidRPr="00E52737">
        <w:rPr>
          <w:rFonts w:asciiTheme="minorHAnsi" w:hAnsiTheme="minorHAnsi" w:cstheme="minorHAnsi"/>
          <w:i/>
          <w:iCs/>
        </w:rPr>
        <w:t>Id</w:t>
      </w:r>
      <w:r w:rsidRPr="00DA5613">
        <w:rPr>
          <w:rFonts w:asciiTheme="minorHAnsi" w:hAnsiTheme="minorHAnsi" w:cstheme="minorHAnsi"/>
        </w:rPr>
        <w:t>. at 2</w:t>
      </w:r>
      <w:r w:rsidR="00027C59" w:rsidRPr="00DA5613">
        <w:rPr>
          <w:rFonts w:asciiTheme="minorHAnsi" w:hAnsiTheme="minorHAnsi" w:cstheme="minorHAnsi"/>
        </w:rPr>
        <w:t>, 8</w:t>
      </w:r>
      <w:r w:rsidR="002833A9">
        <w:rPr>
          <w:rFonts w:asciiTheme="minorHAnsi" w:hAnsiTheme="minorHAnsi" w:cstheme="minorHAnsi"/>
        </w:rPr>
        <w:t xml:space="preserve">.  </w:t>
      </w:r>
      <w:r w:rsidRPr="00DA5613">
        <w:rPr>
          <w:rFonts w:asciiTheme="minorHAnsi" w:hAnsiTheme="minorHAnsi" w:cstheme="minorHAnsi"/>
        </w:rPr>
        <w:t>In response, Mr. King</w:t>
      </w:r>
      <w:r w:rsidR="00734FC1" w:rsidRPr="00DA5613">
        <w:rPr>
          <w:rFonts w:asciiTheme="minorHAnsi" w:hAnsiTheme="minorHAnsi" w:cstheme="minorHAnsi"/>
        </w:rPr>
        <w:t>horn</w:t>
      </w:r>
      <w:r w:rsidRPr="00DA5613">
        <w:rPr>
          <w:rFonts w:asciiTheme="minorHAnsi" w:hAnsiTheme="minorHAnsi" w:cstheme="minorHAnsi"/>
        </w:rPr>
        <w:t xml:space="preserve"> advised</w:t>
      </w:r>
      <w:r w:rsidR="008F3757" w:rsidRPr="00DA5613">
        <w:rPr>
          <w:rFonts w:asciiTheme="minorHAnsi" w:hAnsiTheme="minorHAnsi" w:cstheme="minorHAnsi"/>
        </w:rPr>
        <w:t xml:space="preserve"> Superintendent Hurst</w:t>
      </w:r>
      <w:r w:rsidRPr="00DA5613">
        <w:rPr>
          <w:rFonts w:asciiTheme="minorHAnsi" w:hAnsiTheme="minorHAnsi" w:cstheme="minorHAnsi"/>
        </w:rPr>
        <w:t xml:space="preserve"> that Calvert ISD was “moved” to </w:t>
      </w:r>
      <w:r w:rsidR="008F3757" w:rsidRPr="00DA5613">
        <w:rPr>
          <w:rFonts w:asciiTheme="minorHAnsi" w:hAnsiTheme="minorHAnsi" w:cstheme="minorHAnsi"/>
        </w:rPr>
        <w:t>the Office’s</w:t>
      </w:r>
      <w:r w:rsidRPr="00DA5613">
        <w:rPr>
          <w:rFonts w:asciiTheme="minorHAnsi" w:hAnsiTheme="minorHAnsi" w:cstheme="minorHAnsi"/>
        </w:rPr>
        <w:t xml:space="preserve"> “compliant list on [its] public-facing website” and requested that Calvert ISD “please forward any announcements” </w:t>
      </w:r>
      <w:r w:rsidR="00311485">
        <w:rPr>
          <w:rFonts w:asciiTheme="minorHAnsi" w:hAnsiTheme="minorHAnsi" w:cstheme="minorHAnsi"/>
        </w:rPr>
        <w:t xml:space="preserve">that were given </w:t>
      </w:r>
      <w:r w:rsidRPr="00DA5613">
        <w:rPr>
          <w:rFonts w:asciiTheme="minorHAnsi" w:hAnsiTheme="minorHAnsi" w:cstheme="minorHAnsi"/>
        </w:rPr>
        <w:t xml:space="preserve">to both students and staff. </w:t>
      </w:r>
      <w:r w:rsidR="002833A9">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xml:space="preserve">. at 3. </w:t>
      </w:r>
    </w:p>
    <w:p w14:paraId="6FC793D1" w14:textId="3A077311" w:rsidR="00FC07CB" w:rsidRPr="00DA5613" w:rsidRDefault="00C52673" w:rsidP="00254359">
      <w:pPr>
        <w:spacing w:line="480" w:lineRule="auto"/>
        <w:rPr>
          <w:rFonts w:asciiTheme="minorHAnsi" w:hAnsiTheme="minorHAnsi" w:cstheme="minorHAnsi"/>
        </w:rPr>
      </w:pPr>
      <w:r w:rsidRPr="00DA5613">
        <w:rPr>
          <w:rFonts w:asciiTheme="minorHAnsi" w:hAnsiTheme="minorHAnsi" w:cstheme="minorHAnsi"/>
        </w:rPr>
        <w:tab/>
      </w:r>
      <w:r w:rsidR="00FC07CB" w:rsidRPr="00DA5613">
        <w:rPr>
          <w:rFonts w:asciiTheme="minorHAnsi" w:hAnsiTheme="minorHAnsi" w:cstheme="minorHAnsi"/>
        </w:rPr>
        <w:t>The threat of legal action prompted West Orange</w:t>
      </w:r>
      <w:r w:rsidR="00E106A8">
        <w:rPr>
          <w:rFonts w:asciiTheme="minorHAnsi" w:hAnsiTheme="minorHAnsi" w:cstheme="minorHAnsi"/>
        </w:rPr>
        <w:t xml:space="preserve"> </w:t>
      </w:r>
      <w:r w:rsidR="00FC07CB" w:rsidRPr="00DA5613">
        <w:rPr>
          <w:rFonts w:asciiTheme="minorHAnsi" w:hAnsiTheme="minorHAnsi" w:cstheme="minorHAnsi"/>
        </w:rPr>
        <w:t>Cov</w:t>
      </w:r>
      <w:r w:rsidR="00E106A8">
        <w:rPr>
          <w:rFonts w:asciiTheme="minorHAnsi" w:hAnsiTheme="minorHAnsi" w:cstheme="minorHAnsi"/>
        </w:rPr>
        <w:t>e</w:t>
      </w:r>
      <w:r w:rsidR="00FC07CB" w:rsidRPr="00DA5613">
        <w:rPr>
          <w:rFonts w:asciiTheme="minorHAnsi" w:hAnsiTheme="minorHAnsi" w:cstheme="minorHAnsi"/>
        </w:rPr>
        <w:t xml:space="preserve"> ISD to change its mask policy from mandatory to optional</w:t>
      </w:r>
      <w:r w:rsidR="002833A9">
        <w:rPr>
          <w:rFonts w:asciiTheme="minorHAnsi" w:hAnsiTheme="minorHAnsi" w:cstheme="minorHAnsi"/>
        </w:rPr>
        <w:t xml:space="preserve">.  </w:t>
      </w:r>
      <w:r w:rsidR="00FC07CB" w:rsidRPr="00DA5613">
        <w:rPr>
          <w:rFonts w:asciiTheme="minorHAnsi" w:hAnsiTheme="minorHAnsi" w:cstheme="minorHAnsi"/>
        </w:rPr>
        <w:t xml:space="preserve">As of August 23, 2021, West Orange Cove ISD required that: “all students 2-12 grade and all staff will be required to wear a mask/face covering that completely covers the mouth and nose while on campuses and buses as a part of our dress code until further notice.” </w:t>
      </w:r>
      <w:r w:rsidR="002833A9">
        <w:rPr>
          <w:rFonts w:asciiTheme="minorHAnsi" w:hAnsiTheme="minorHAnsi" w:cstheme="minorHAnsi"/>
        </w:rPr>
        <w:t xml:space="preserve"> </w:t>
      </w:r>
      <w:r w:rsidR="00FC07CB" w:rsidRPr="00DA5613">
        <w:rPr>
          <w:rFonts w:asciiTheme="minorHAnsi" w:hAnsiTheme="minorHAnsi" w:cstheme="minorHAnsi"/>
        </w:rPr>
        <w:t xml:space="preserve">Ex. </w:t>
      </w:r>
      <w:r w:rsidR="008458FA">
        <w:rPr>
          <w:rFonts w:asciiTheme="minorHAnsi" w:hAnsiTheme="minorHAnsi" w:cstheme="minorHAnsi"/>
        </w:rPr>
        <w:t>103</w:t>
      </w:r>
      <w:r w:rsidR="00FC07CB" w:rsidRPr="00DA5613">
        <w:rPr>
          <w:rFonts w:asciiTheme="minorHAnsi" w:hAnsiTheme="minorHAnsi" w:cstheme="minorHAnsi"/>
        </w:rPr>
        <w:t xml:space="preserve"> at 7 (West </w:t>
      </w:r>
      <w:r w:rsidR="008458FA">
        <w:rPr>
          <w:rFonts w:asciiTheme="minorHAnsi" w:hAnsiTheme="minorHAnsi" w:cstheme="minorHAnsi"/>
        </w:rPr>
        <w:t xml:space="preserve">Orange </w:t>
      </w:r>
      <w:r w:rsidR="00FC07CB" w:rsidRPr="00DA5613">
        <w:rPr>
          <w:rFonts w:asciiTheme="minorHAnsi" w:hAnsiTheme="minorHAnsi" w:cstheme="minorHAnsi"/>
        </w:rPr>
        <w:t xml:space="preserve">Cove ISD PIR Response). </w:t>
      </w:r>
      <w:r w:rsidR="002833A9">
        <w:rPr>
          <w:rFonts w:asciiTheme="minorHAnsi" w:hAnsiTheme="minorHAnsi" w:cstheme="minorHAnsi"/>
        </w:rPr>
        <w:t xml:space="preserve"> </w:t>
      </w:r>
      <w:r w:rsidR="00FC07CB" w:rsidRPr="00DA5613">
        <w:rPr>
          <w:rFonts w:asciiTheme="minorHAnsi" w:hAnsiTheme="minorHAnsi" w:cstheme="minorHAnsi"/>
        </w:rPr>
        <w:t>On September 7, Mr. Kinghorn issued a letter to Superintendent Rickie Harris requesting that the school rescind its policy, or otherwise face potential legal action brought by the Office of the Attorney General</w:t>
      </w:r>
      <w:r w:rsidR="002833A9">
        <w:rPr>
          <w:rFonts w:asciiTheme="minorHAnsi" w:hAnsiTheme="minorHAnsi" w:cstheme="minorHAnsi"/>
        </w:rPr>
        <w:t xml:space="preserve">.  </w:t>
      </w:r>
      <w:r w:rsidR="00FC07CB" w:rsidRPr="00DA5613">
        <w:rPr>
          <w:rFonts w:asciiTheme="minorHAnsi" w:hAnsiTheme="minorHAnsi" w:cstheme="minorHAnsi"/>
          <w:i/>
          <w:iCs/>
        </w:rPr>
        <w:t>Id</w:t>
      </w:r>
      <w:r w:rsidR="00FC07CB" w:rsidRPr="00DA5613">
        <w:rPr>
          <w:rFonts w:asciiTheme="minorHAnsi" w:hAnsiTheme="minorHAnsi" w:cstheme="minorHAnsi"/>
        </w:rPr>
        <w:t>. at 3-4</w:t>
      </w:r>
      <w:r w:rsidR="002833A9">
        <w:rPr>
          <w:rFonts w:asciiTheme="minorHAnsi" w:hAnsiTheme="minorHAnsi" w:cstheme="minorHAnsi"/>
        </w:rPr>
        <w:t xml:space="preserve">.  </w:t>
      </w:r>
      <w:r w:rsidR="00FC07CB" w:rsidRPr="00DA5613">
        <w:rPr>
          <w:rFonts w:asciiTheme="minorHAnsi" w:hAnsiTheme="minorHAnsi" w:cstheme="minorHAnsi"/>
        </w:rPr>
        <w:t xml:space="preserve">On September 20, West Orange Cove ISD </w:t>
      </w:r>
      <w:r w:rsidR="00BE7D7F" w:rsidRPr="00DA5613">
        <w:rPr>
          <w:rFonts w:asciiTheme="minorHAnsi" w:hAnsiTheme="minorHAnsi" w:cstheme="minorHAnsi"/>
        </w:rPr>
        <w:t xml:space="preserve">issued revised guidance: “Based on recent possible legal actions from the Office of [t]he Attorney General, effective Monday, September 20, 2021, masks will be highly recommended for students and staff of Orange-Cove ISD.” </w:t>
      </w:r>
      <w:r w:rsidR="002833A9">
        <w:rPr>
          <w:rFonts w:asciiTheme="minorHAnsi" w:hAnsiTheme="minorHAnsi" w:cstheme="minorHAnsi"/>
        </w:rPr>
        <w:t xml:space="preserve"> </w:t>
      </w:r>
      <w:r w:rsidR="00BE7D7F" w:rsidRPr="00DA5613">
        <w:rPr>
          <w:rFonts w:asciiTheme="minorHAnsi" w:hAnsiTheme="minorHAnsi" w:cstheme="minorHAnsi"/>
          <w:i/>
          <w:iCs/>
        </w:rPr>
        <w:t>Id</w:t>
      </w:r>
      <w:r w:rsidR="00BE7D7F" w:rsidRPr="00DA5613">
        <w:rPr>
          <w:rFonts w:asciiTheme="minorHAnsi" w:hAnsiTheme="minorHAnsi" w:cstheme="minorHAnsi"/>
        </w:rPr>
        <w:t xml:space="preserve">. at 8. </w:t>
      </w:r>
    </w:p>
    <w:p w14:paraId="53C141A0" w14:textId="2FD6DED1" w:rsidR="00C52673" w:rsidRPr="00DA5613" w:rsidRDefault="00BE7D7F" w:rsidP="00254359">
      <w:pPr>
        <w:spacing w:line="480" w:lineRule="auto"/>
        <w:ind w:firstLine="720"/>
        <w:rPr>
          <w:rFonts w:asciiTheme="minorHAnsi" w:hAnsiTheme="minorHAnsi" w:cstheme="minorHAnsi"/>
        </w:rPr>
      </w:pPr>
      <w:r w:rsidRPr="00DA5613">
        <w:rPr>
          <w:rFonts w:asciiTheme="minorHAnsi" w:hAnsiTheme="minorHAnsi" w:cstheme="minorHAnsi"/>
        </w:rPr>
        <w:t xml:space="preserve">Mr. Kinghorn also </w:t>
      </w:r>
      <w:r w:rsidR="00C52673" w:rsidRPr="00DA5613">
        <w:rPr>
          <w:rFonts w:asciiTheme="minorHAnsi" w:hAnsiTheme="minorHAnsi" w:cstheme="minorHAnsi"/>
        </w:rPr>
        <w:t xml:space="preserve">issued a </w:t>
      </w:r>
      <w:r w:rsidR="008F3757" w:rsidRPr="00DA5613">
        <w:rPr>
          <w:rFonts w:asciiTheme="minorHAnsi" w:hAnsiTheme="minorHAnsi" w:cstheme="minorHAnsi"/>
        </w:rPr>
        <w:t xml:space="preserve">form </w:t>
      </w:r>
      <w:r w:rsidR="00C52673" w:rsidRPr="00DA5613">
        <w:rPr>
          <w:rFonts w:asciiTheme="minorHAnsi" w:hAnsiTheme="minorHAnsi" w:cstheme="minorHAnsi"/>
        </w:rPr>
        <w:t xml:space="preserve">letter to Ferris ISD on September 3. </w:t>
      </w:r>
      <w:r w:rsidR="002833A9">
        <w:rPr>
          <w:rFonts w:asciiTheme="minorHAnsi" w:hAnsiTheme="minorHAnsi" w:cstheme="minorHAnsi"/>
        </w:rPr>
        <w:t xml:space="preserve"> </w:t>
      </w:r>
      <w:r w:rsidR="00C52673" w:rsidRPr="00DA5613">
        <w:rPr>
          <w:rFonts w:asciiTheme="minorHAnsi" w:hAnsiTheme="minorHAnsi" w:cstheme="minorHAnsi"/>
        </w:rPr>
        <w:t xml:space="preserve">Ex. </w:t>
      </w:r>
      <w:r w:rsidR="008458FA">
        <w:rPr>
          <w:rFonts w:asciiTheme="minorHAnsi" w:hAnsiTheme="minorHAnsi" w:cstheme="minorHAnsi"/>
        </w:rPr>
        <w:t>86</w:t>
      </w:r>
      <w:r w:rsidR="00C52673" w:rsidRPr="00DA5613">
        <w:rPr>
          <w:rFonts w:asciiTheme="minorHAnsi" w:hAnsiTheme="minorHAnsi" w:cstheme="minorHAnsi"/>
        </w:rPr>
        <w:t xml:space="preserve"> (Ferris ISD Email Correspondence). </w:t>
      </w:r>
      <w:r w:rsidR="002833A9">
        <w:rPr>
          <w:rFonts w:asciiTheme="minorHAnsi" w:hAnsiTheme="minorHAnsi" w:cstheme="minorHAnsi"/>
        </w:rPr>
        <w:t xml:space="preserve"> </w:t>
      </w:r>
      <w:r w:rsidR="00C52673" w:rsidRPr="00DA5613">
        <w:rPr>
          <w:rFonts w:asciiTheme="minorHAnsi" w:hAnsiTheme="minorHAnsi" w:cstheme="minorHAnsi"/>
        </w:rPr>
        <w:t>On September 21, in an email response, Superintendent James Hartman advised</w:t>
      </w:r>
      <w:r w:rsidR="008F3757" w:rsidRPr="00DA5613">
        <w:rPr>
          <w:rFonts w:asciiTheme="minorHAnsi" w:hAnsiTheme="minorHAnsi" w:cstheme="minorHAnsi"/>
        </w:rPr>
        <w:t xml:space="preserve"> Mr. Kinghorn</w:t>
      </w:r>
      <w:r w:rsidR="00C52673" w:rsidRPr="00DA5613">
        <w:rPr>
          <w:rFonts w:asciiTheme="minorHAnsi" w:hAnsiTheme="minorHAnsi" w:cstheme="minorHAnsi"/>
        </w:rPr>
        <w:t xml:space="preserve"> that: </w:t>
      </w:r>
    </w:p>
    <w:p w14:paraId="491A42F3" w14:textId="0E881CCC" w:rsidR="00C52673" w:rsidRPr="00DA5613" w:rsidRDefault="00C52673" w:rsidP="00254359">
      <w:pPr>
        <w:ind w:left="720" w:right="720"/>
        <w:rPr>
          <w:rFonts w:asciiTheme="minorHAnsi" w:hAnsiTheme="minorHAnsi" w:cstheme="minorHAnsi"/>
        </w:rPr>
      </w:pPr>
      <w:r w:rsidRPr="00DA5613">
        <w:rPr>
          <w:rFonts w:asciiTheme="minorHAnsi" w:hAnsiTheme="minorHAnsi" w:cstheme="minorHAnsi"/>
        </w:rPr>
        <w:t>Tonight the Ferris Board of Trustees removed the Temporary Mask Mandate effective tomorrow, September 22</w:t>
      </w:r>
      <w:r w:rsidR="002833A9">
        <w:rPr>
          <w:rFonts w:asciiTheme="minorHAnsi" w:hAnsiTheme="minorHAnsi" w:cstheme="minorHAnsi"/>
        </w:rPr>
        <w:t xml:space="preserve">.  </w:t>
      </w:r>
      <w:r w:rsidRPr="00DA5613">
        <w:rPr>
          <w:rFonts w:asciiTheme="minorHAnsi" w:hAnsiTheme="minorHAnsi" w:cstheme="minorHAnsi"/>
        </w:rPr>
        <w:t>Face coverings are now optional but highly encouraged for staff and students</w:t>
      </w:r>
      <w:r w:rsidR="002833A9">
        <w:rPr>
          <w:rFonts w:asciiTheme="minorHAnsi" w:hAnsiTheme="minorHAnsi" w:cstheme="minorHAnsi"/>
        </w:rPr>
        <w:t xml:space="preserve">.  </w:t>
      </w:r>
      <w:r w:rsidRPr="00DA5613">
        <w:rPr>
          <w:rFonts w:asciiTheme="minorHAnsi" w:hAnsiTheme="minorHAnsi" w:cstheme="minorHAnsi"/>
        </w:rPr>
        <w:t>This update has been distributed to all FISD parents.</w:t>
      </w:r>
    </w:p>
    <w:p w14:paraId="6BE1DB59" w14:textId="77777777" w:rsidR="00C52673" w:rsidRPr="00DA5613" w:rsidRDefault="00C52673" w:rsidP="00254359">
      <w:pPr>
        <w:ind w:left="720" w:right="720"/>
        <w:rPr>
          <w:rFonts w:asciiTheme="minorHAnsi" w:hAnsiTheme="minorHAnsi" w:cstheme="minorHAnsi"/>
        </w:rPr>
      </w:pPr>
    </w:p>
    <w:p w14:paraId="4725E563" w14:textId="77777777" w:rsidR="008F3757" w:rsidRPr="00DA5613" w:rsidRDefault="00C52673" w:rsidP="00254359">
      <w:pPr>
        <w:spacing w:line="480" w:lineRule="auto"/>
        <w:rPr>
          <w:rFonts w:asciiTheme="minorHAnsi" w:hAnsiTheme="minorHAnsi" w:cstheme="minorHAnsi"/>
        </w:rPr>
      </w:pPr>
      <w:r w:rsidRPr="00DA5613">
        <w:rPr>
          <w:rFonts w:asciiTheme="minorHAnsi" w:hAnsiTheme="minorHAnsi" w:cstheme="minorHAnsi"/>
          <w:i/>
          <w:iCs/>
        </w:rPr>
        <w:t>Id</w:t>
      </w:r>
      <w:r w:rsidRPr="00DA5613">
        <w:rPr>
          <w:rFonts w:asciiTheme="minorHAnsi" w:hAnsiTheme="minorHAnsi" w:cstheme="minorHAnsi"/>
        </w:rPr>
        <w:t xml:space="preserve">. </w:t>
      </w:r>
    </w:p>
    <w:p w14:paraId="4FC7B691" w14:textId="3DA402D9" w:rsidR="00CC0CC5" w:rsidRPr="00DA5613" w:rsidRDefault="00CC0CC5" w:rsidP="00254359">
      <w:pPr>
        <w:spacing w:line="480" w:lineRule="auto"/>
        <w:ind w:firstLine="720"/>
        <w:rPr>
          <w:rFonts w:asciiTheme="minorHAnsi" w:hAnsiTheme="minorHAnsi" w:cstheme="minorHAnsi"/>
        </w:rPr>
      </w:pPr>
      <w:r w:rsidRPr="00DA5613">
        <w:rPr>
          <w:rFonts w:asciiTheme="minorHAnsi" w:hAnsiTheme="minorHAnsi" w:cstheme="minorHAnsi"/>
        </w:rPr>
        <w:t xml:space="preserve">A similar interaction took place between Mr. Kinghorn and Aransas Pass ISD Superintendent Cara Cooke, who advised Mr. Kinghorn that the Board of Trustees had rescinded </w:t>
      </w:r>
      <w:r w:rsidR="008F3757" w:rsidRPr="00DA5613">
        <w:rPr>
          <w:rFonts w:asciiTheme="minorHAnsi" w:hAnsiTheme="minorHAnsi" w:cstheme="minorHAnsi"/>
        </w:rPr>
        <w:t>its</w:t>
      </w:r>
      <w:r w:rsidRPr="00DA5613">
        <w:rPr>
          <w:rFonts w:asciiTheme="minorHAnsi" w:hAnsiTheme="minorHAnsi" w:cstheme="minorHAnsi"/>
        </w:rPr>
        <w:t xml:space="preserve"> mask mandate resolution following receipt of the </w:t>
      </w:r>
      <w:r w:rsidR="008F3757" w:rsidRPr="00DA5613">
        <w:rPr>
          <w:rFonts w:asciiTheme="minorHAnsi" w:hAnsiTheme="minorHAnsi" w:cstheme="minorHAnsi"/>
        </w:rPr>
        <w:t>Office’s</w:t>
      </w:r>
      <w:r w:rsidRPr="00DA5613">
        <w:rPr>
          <w:rFonts w:asciiTheme="minorHAnsi" w:hAnsiTheme="minorHAnsi" w:cstheme="minorHAnsi"/>
        </w:rPr>
        <w:t xml:space="preserve"> letter and requesting that the district be remov</w:t>
      </w:r>
      <w:r w:rsidR="008F3757" w:rsidRPr="00DA5613">
        <w:rPr>
          <w:rFonts w:asciiTheme="minorHAnsi" w:hAnsiTheme="minorHAnsi" w:cstheme="minorHAnsi"/>
        </w:rPr>
        <w:t>ed</w:t>
      </w:r>
      <w:r w:rsidRPr="00DA5613">
        <w:rPr>
          <w:rFonts w:asciiTheme="minorHAnsi" w:hAnsiTheme="minorHAnsi" w:cstheme="minorHAnsi"/>
        </w:rPr>
        <w:t xml:space="preserve"> from the</w:t>
      </w:r>
      <w:r w:rsidR="008F3757" w:rsidRPr="00DA5613">
        <w:rPr>
          <w:rFonts w:asciiTheme="minorHAnsi" w:hAnsiTheme="minorHAnsi" w:cstheme="minorHAnsi"/>
        </w:rPr>
        <w:t xml:space="preserve"> List of Noncompliant Entities</w:t>
      </w:r>
      <w:r w:rsidR="002833A9">
        <w:rPr>
          <w:rFonts w:asciiTheme="minorHAnsi" w:hAnsiTheme="minorHAnsi" w:cstheme="minorHAnsi"/>
        </w:rPr>
        <w:t xml:space="preserve">.  </w:t>
      </w:r>
      <w:r w:rsidRPr="00DA5613">
        <w:rPr>
          <w:rFonts w:asciiTheme="minorHAnsi" w:hAnsiTheme="minorHAnsi" w:cstheme="minorHAnsi"/>
        </w:rPr>
        <w:t xml:space="preserve">Ex. </w:t>
      </w:r>
      <w:r w:rsidR="008458FA">
        <w:rPr>
          <w:rFonts w:asciiTheme="minorHAnsi" w:hAnsiTheme="minorHAnsi" w:cstheme="minorHAnsi"/>
        </w:rPr>
        <w:t>84</w:t>
      </w:r>
      <w:r w:rsidRPr="00DA5613">
        <w:rPr>
          <w:rFonts w:asciiTheme="minorHAnsi" w:hAnsiTheme="minorHAnsi" w:cstheme="minorHAnsi"/>
        </w:rPr>
        <w:t xml:space="preserve"> (Aransas Pass ISD Correspondence)</w:t>
      </w:r>
      <w:r w:rsidR="002833A9">
        <w:rPr>
          <w:rFonts w:asciiTheme="minorHAnsi" w:hAnsiTheme="minorHAnsi" w:cstheme="minorHAnsi"/>
        </w:rPr>
        <w:t xml:space="preserve">.  </w:t>
      </w:r>
      <w:r w:rsidR="00CD07B8" w:rsidRPr="00DA5613">
        <w:rPr>
          <w:rFonts w:asciiTheme="minorHAnsi" w:hAnsiTheme="minorHAnsi" w:cstheme="minorHAnsi"/>
        </w:rPr>
        <w:t>Salado ISD</w:t>
      </w:r>
      <w:r w:rsidR="008F3757" w:rsidRPr="00DA5613">
        <w:rPr>
          <w:rFonts w:asciiTheme="minorHAnsi" w:hAnsiTheme="minorHAnsi" w:cstheme="minorHAnsi"/>
        </w:rPr>
        <w:t xml:space="preserve">, </w:t>
      </w:r>
      <w:r w:rsidR="00652A20" w:rsidRPr="00DA5613">
        <w:rPr>
          <w:rFonts w:asciiTheme="minorHAnsi" w:hAnsiTheme="minorHAnsi" w:cstheme="minorHAnsi"/>
        </w:rPr>
        <w:t>Trenton ISD</w:t>
      </w:r>
      <w:r w:rsidR="008F3757" w:rsidRPr="00DA5613">
        <w:rPr>
          <w:rFonts w:asciiTheme="minorHAnsi" w:hAnsiTheme="minorHAnsi" w:cstheme="minorHAnsi"/>
        </w:rPr>
        <w:t>, Plano ISD</w:t>
      </w:r>
      <w:r w:rsidR="000B09D9" w:rsidRPr="00DA5613">
        <w:rPr>
          <w:rFonts w:asciiTheme="minorHAnsi" w:hAnsiTheme="minorHAnsi" w:cstheme="minorHAnsi"/>
        </w:rPr>
        <w:t>, and San Diego ISD</w:t>
      </w:r>
      <w:r w:rsidR="008F3757" w:rsidRPr="00DA5613">
        <w:rPr>
          <w:rFonts w:asciiTheme="minorHAnsi" w:hAnsiTheme="minorHAnsi" w:cstheme="minorHAnsi"/>
        </w:rPr>
        <w:t xml:space="preserve"> likewise</w:t>
      </w:r>
      <w:r w:rsidR="00CD07B8" w:rsidRPr="00DA5613">
        <w:rPr>
          <w:rFonts w:asciiTheme="minorHAnsi" w:hAnsiTheme="minorHAnsi" w:cstheme="minorHAnsi"/>
        </w:rPr>
        <w:t xml:space="preserve"> rescinded </w:t>
      </w:r>
      <w:r w:rsidR="008F3757" w:rsidRPr="00DA5613">
        <w:rPr>
          <w:rFonts w:asciiTheme="minorHAnsi" w:hAnsiTheme="minorHAnsi" w:cstheme="minorHAnsi"/>
        </w:rPr>
        <w:t xml:space="preserve">their </w:t>
      </w:r>
      <w:r w:rsidR="00CD07B8" w:rsidRPr="00DA5613">
        <w:rPr>
          <w:rFonts w:asciiTheme="minorHAnsi" w:hAnsiTheme="minorHAnsi" w:cstheme="minorHAnsi"/>
        </w:rPr>
        <w:t>mask polic</w:t>
      </w:r>
      <w:r w:rsidR="008F3757" w:rsidRPr="00DA5613">
        <w:rPr>
          <w:rFonts w:asciiTheme="minorHAnsi" w:hAnsiTheme="minorHAnsi" w:cstheme="minorHAnsi"/>
        </w:rPr>
        <w:t>ies</w:t>
      </w:r>
      <w:r w:rsidR="00CD07B8" w:rsidRPr="00DA5613">
        <w:rPr>
          <w:rFonts w:asciiTheme="minorHAnsi" w:hAnsiTheme="minorHAnsi" w:cstheme="minorHAnsi"/>
        </w:rPr>
        <w:t xml:space="preserve"> after receiving </w:t>
      </w:r>
      <w:r w:rsidR="00652A20" w:rsidRPr="00DA5613">
        <w:rPr>
          <w:rFonts w:asciiTheme="minorHAnsi" w:hAnsiTheme="minorHAnsi" w:cstheme="minorHAnsi"/>
        </w:rPr>
        <w:t xml:space="preserve">the </w:t>
      </w:r>
      <w:r w:rsidR="008F3757" w:rsidRPr="00DA5613">
        <w:rPr>
          <w:rFonts w:asciiTheme="minorHAnsi" w:hAnsiTheme="minorHAnsi" w:cstheme="minorHAnsi"/>
        </w:rPr>
        <w:t>Office’s</w:t>
      </w:r>
      <w:r w:rsidR="00BB714F" w:rsidRPr="00DA5613">
        <w:rPr>
          <w:rFonts w:asciiTheme="minorHAnsi" w:hAnsiTheme="minorHAnsi" w:cstheme="minorHAnsi"/>
        </w:rPr>
        <w:t xml:space="preserve"> </w:t>
      </w:r>
      <w:r w:rsidR="008F3757" w:rsidRPr="00DA5613">
        <w:rPr>
          <w:rFonts w:asciiTheme="minorHAnsi" w:hAnsiTheme="minorHAnsi" w:cstheme="minorHAnsi"/>
        </w:rPr>
        <w:t xml:space="preserve">letters </w:t>
      </w:r>
      <w:r w:rsidR="00BB714F" w:rsidRPr="00DA5613">
        <w:rPr>
          <w:rFonts w:asciiTheme="minorHAnsi" w:hAnsiTheme="minorHAnsi" w:cstheme="minorHAnsi"/>
        </w:rPr>
        <w:t xml:space="preserve">or </w:t>
      </w:r>
      <w:r w:rsidR="008F3757" w:rsidRPr="00DA5613">
        <w:rPr>
          <w:rFonts w:asciiTheme="minorHAnsi" w:hAnsiTheme="minorHAnsi" w:cstheme="minorHAnsi"/>
        </w:rPr>
        <w:t>after being publicly listed</w:t>
      </w:r>
      <w:r w:rsidR="00BB714F" w:rsidRPr="00DA5613">
        <w:rPr>
          <w:rFonts w:asciiTheme="minorHAnsi" w:hAnsiTheme="minorHAnsi" w:cstheme="minorHAnsi"/>
        </w:rPr>
        <w:t xml:space="preserve"> on the List of Noncompliant Entities</w:t>
      </w:r>
      <w:r w:rsidR="002833A9">
        <w:rPr>
          <w:rFonts w:asciiTheme="minorHAnsi" w:hAnsiTheme="minorHAnsi" w:cstheme="minorHAnsi"/>
        </w:rPr>
        <w:t xml:space="preserve">.  </w:t>
      </w:r>
      <w:r w:rsidR="00652A20" w:rsidRPr="00DA5613">
        <w:rPr>
          <w:rFonts w:asciiTheme="minorHAnsi" w:hAnsiTheme="minorHAnsi" w:cstheme="minorHAnsi"/>
          <w:lang w:val="es-ES"/>
        </w:rPr>
        <w:t xml:space="preserve">Ex. </w:t>
      </w:r>
      <w:r w:rsidR="008458FA">
        <w:rPr>
          <w:rFonts w:asciiTheme="minorHAnsi" w:hAnsiTheme="minorHAnsi" w:cstheme="minorHAnsi"/>
          <w:lang w:val="es-ES"/>
        </w:rPr>
        <w:t>96</w:t>
      </w:r>
      <w:r w:rsidR="00652A20" w:rsidRPr="00DA5613">
        <w:rPr>
          <w:rFonts w:asciiTheme="minorHAnsi" w:hAnsiTheme="minorHAnsi" w:cstheme="minorHAnsi"/>
          <w:lang w:val="es-ES"/>
        </w:rPr>
        <w:t xml:space="preserve"> (Salado ISD Correspondence); Ex. </w:t>
      </w:r>
      <w:r w:rsidR="008458FA">
        <w:rPr>
          <w:rFonts w:asciiTheme="minorHAnsi" w:hAnsiTheme="minorHAnsi" w:cstheme="minorHAnsi"/>
          <w:lang w:val="es-ES"/>
        </w:rPr>
        <w:t>100</w:t>
      </w:r>
      <w:r w:rsidR="00652A20" w:rsidRPr="00DA5613">
        <w:rPr>
          <w:rFonts w:asciiTheme="minorHAnsi" w:hAnsiTheme="minorHAnsi" w:cstheme="minorHAnsi"/>
          <w:lang w:val="es-ES"/>
        </w:rPr>
        <w:t xml:space="preserve"> (Trenton ISD Correspondence)</w:t>
      </w:r>
      <w:r w:rsidR="00BB714F" w:rsidRPr="00DA5613">
        <w:rPr>
          <w:rFonts w:asciiTheme="minorHAnsi" w:hAnsiTheme="minorHAnsi" w:cstheme="minorHAnsi"/>
          <w:lang w:val="es-ES"/>
        </w:rPr>
        <w:t xml:space="preserve">; Ex. </w:t>
      </w:r>
      <w:r w:rsidR="008458FA" w:rsidRPr="008458FA">
        <w:rPr>
          <w:rFonts w:asciiTheme="minorHAnsi" w:hAnsiTheme="minorHAnsi" w:cstheme="minorHAnsi"/>
          <w:lang w:val="es-ES"/>
        </w:rPr>
        <w:t>94</w:t>
      </w:r>
      <w:r w:rsidR="00BB714F" w:rsidRPr="008458FA">
        <w:rPr>
          <w:rFonts w:asciiTheme="minorHAnsi" w:hAnsiTheme="minorHAnsi" w:cstheme="minorHAnsi"/>
          <w:lang w:val="es-ES"/>
        </w:rPr>
        <w:t xml:space="preserve"> (Plano ISD Correspondence)</w:t>
      </w:r>
      <w:r w:rsidR="000B09D9" w:rsidRPr="008458FA">
        <w:rPr>
          <w:rFonts w:asciiTheme="minorHAnsi" w:hAnsiTheme="minorHAnsi" w:cstheme="minorHAnsi"/>
          <w:lang w:val="es-ES"/>
        </w:rPr>
        <w:t>;</w:t>
      </w:r>
      <w:r w:rsidR="008458FA">
        <w:rPr>
          <w:rFonts w:asciiTheme="minorHAnsi" w:hAnsiTheme="minorHAnsi" w:cstheme="minorHAnsi"/>
          <w:lang w:val="es-ES"/>
        </w:rPr>
        <w:t xml:space="preserve"> Ex. 98</w:t>
      </w:r>
      <w:r w:rsidR="000B09D9" w:rsidRPr="008458FA">
        <w:rPr>
          <w:rFonts w:asciiTheme="minorHAnsi" w:hAnsiTheme="minorHAnsi" w:cstheme="minorHAnsi"/>
          <w:lang w:val="es-ES"/>
        </w:rPr>
        <w:t xml:space="preserve"> (San Diego ISD Correspondence)</w:t>
      </w:r>
      <w:r w:rsidR="008458FA">
        <w:rPr>
          <w:rFonts w:asciiTheme="minorHAnsi" w:hAnsiTheme="minorHAnsi" w:cstheme="minorHAnsi"/>
          <w:lang w:val="es-ES"/>
        </w:rPr>
        <w:t>; Ex. 101 (Matthias ISD Correspondence with OAG)</w:t>
      </w:r>
      <w:r w:rsidR="002833A9" w:rsidRPr="008458FA">
        <w:rPr>
          <w:rFonts w:asciiTheme="minorHAnsi" w:hAnsiTheme="minorHAnsi" w:cstheme="minorHAnsi"/>
          <w:lang w:val="es-ES"/>
        </w:rPr>
        <w:t xml:space="preserve">.  </w:t>
      </w:r>
      <w:r w:rsidR="00A7718B" w:rsidRPr="00DA5613">
        <w:rPr>
          <w:rFonts w:asciiTheme="minorHAnsi" w:hAnsiTheme="minorHAnsi" w:cstheme="minorHAnsi"/>
        </w:rPr>
        <w:t>Plano ISD’s decision to withdraw its mask requirement came after a series of communications between the district’s attorney, Ms. Mari McGowan, and the Office of the Attorney General, including a handful of phone calls with Mr. Kinghorn during which Ms. McGowan asked questions about what policies would constitute compliance or noncompliance from the Office’s perspective</w:t>
      </w:r>
      <w:r w:rsidR="002833A9">
        <w:rPr>
          <w:rFonts w:asciiTheme="minorHAnsi" w:hAnsiTheme="minorHAnsi" w:cstheme="minorHAnsi"/>
        </w:rPr>
        <w:t xml:space="preserve">.  </w:t>
      </w:r>
      <w:r w:rsidR="00A7718B" w:rsidRPr="00DA5613">
        <w:rPr>
          <w:rFonts w:asciiTheme="minorHAnsi" w:hAnsiTheme="minorHAnsi" w:cstheme="minorHAnsi"/>
        </w:rPr>
        <w:t xml:space="preserve">Ex. </w:t>
      </w:r>
      <w:r w:rsidR="0012412A">
        <w:rPr>
          <w:rFonts w:asciiTheme="minorHAnsi" w:hAnsiTheme="minorHAnsi" w:cstheme="minorHAnsi"/>
        </w:rPr>
        <w:t>161</w:t>
      </w:r>
      <w:r w:rsidR="00A7718B" w:rsidRPr="00DA5613">
        <w:rPr>
          <w:rFonts w:asciiTheme="minorHAnsi" w:hAnsiTheme="minorHAnsi" w:cstheme="minorHAnsi"/>
        </w:rPr>
        <w:t xml:space="preserve"> at 50:9-53:6</w:t>
      </w:r>
      <w:r w:rsidR="0012412A">
        <w:rPr>
          <w:rFonts w:asciiTheme="minorHAnsi" w:hAnsiTheme="minorHAnsi" w:cstheme="minorHAnsi"/>
        </w:rPr>
        <w:t xml:space="preserve"> (A. Kinghorn Depo)</w:t>
      </w:r>
      <w:r w:rsidR="00A7718B" w:rsidRPr="00DA5613">
        <w:rPr>
          <w:rFonts w:asciiTheme="minorHAnsi" w:hAnsiTheme="minorHAnsi" w:cstheme="minorHAnsi"/>
        </w:rPr>
        <w:t xml:space="preserve">. </w:t>
      </w:r>
    </w:p>
    <w:p w14:paraId="2242B810" w14:textId="4886438D" w:rsidR="00CF1CEC" w:rsidRPr="00DA5613" w:rsidRDefault="002E1179" w:rsidP="00254359">
      <w:pPr>
        <w:spacing w:line="480" w:lineRule="auto"/>
        <w:ind w:firstLine="720"/>
        <w:rPr>
          <w:rFonts w:asciiTheme="minorHAnsi" w:hAnsiTheme="minorHAnsi" w:cstheme="minorHAnsi"/>
        </w:rPr>
      </w:pPr>
      <w:r w:rsidRPr="00DA5613">
        <w:rPr>
          <w:rFonts w:asciiTheme="minorHAnsi" w:hAnsiTheme="minorHAnsi" w:cstheme="minorHAnsi"/>
        </w:rPr>
        <w:t>Defendant Paxton has further used his Twitter account to</w:t>
      </w:r>
      <w:r w:rsidR="00CF1CEC" w:rsidRPr="00DA5613">
        <w:rPr>
          <w:rFonts w:asciiTheme="minorHAnsi" w:hAnsiTheme="minorHAnsi" w:cstheme="minorHAnsi"/>
        </w:rPr>
        <w:t xml:space="preserve"> flaunt these enforcement efforts and</w:t>
      </w:r>
      <w:r w:rsidRPr="00DA5613">
        <w:rPr>
          <w:rFonts w:asciiTheme="minorHAnsi" w:hAnsiTheme="minorHAnsi" w:cstheme="minorHAnsi"/>
        </w:rPr>
        <w:t xml:space="preserve"> threaten legal action against any other school districts </w:t>
      </w:r>
      <w:r w:rsidR="00CF1CEC" w:rsidRPr="00DA5613">
        <w:rPr>
          <w:rFonts w:asciiTheme="minorHAnsi" w:hAnsiTheme="minorHAnsi" w:cstheme="minorHAnsi"/>
        </w:rPr>
        <w:t>that</w:t>
      </w:r>
      <w:r w:rsidRPr="00DA5613">
        <w:rPr>
          <w:rFonts w:asciiTheme="minorHAnsi" w:hAnsiTheme="minorHAnsi" w:cstheme="minorHAnsi"/>
        </w:rPr>
        <w:t xml:space="preserve"> implement a mask mandate</w:t>
      </w:r>
      <w:r w:rsidR="002833A9">
        <w:rPr>
          <w:rFonts w:asciiTheme="minorHAnsi" w:hAnsiTheme="minorHAnsi" w:cstheme="minorHAnsi"/>
        </w:rPr>
        <w:t xml:space="preserve">.  </w:t>
      </w:r>
      <w:r w:rsidR="00834C5A" w:rsidRPr="00DA5613">
        <w:rPr>
          <w:rFonts w:asciiTheme="minorHAnsi" w:hAnsiTheme="minorHAnsi" w:cstheme="minorHAnsi"/>
        </w:rPr>
        <w:t>For example, o</w:t>
      </w:r>
      <w:r w:rsidR="00C5502D" w:rsidRPr="00DA5613">
        <w:rPr>
          <w:rFonts w:asciiTheme="minorHAnsi" w:hAnsiTheme="minorHAnsi" w:cstheme="minorHAnsi"/>
        </w:rPr>
        <w:t>n September 7, he tweeted: “3 districts rescinded mask-mandates: Trenton, Calvert, &amp; Los Fresnos ISDs</w:t>
      </w:r>
      <w:r w:rsidR="002833A9">
        <w:rPr>
          <w:rFonts w:asciiTheme="minorHAnsi" w:hAnsiTheme="minorHAnsi" w:cstheme="minorHAnsi"/>
        </w:rPr>
        <w:t xml:space="preserve">.  </w:t>
      </w:r>
      <w:r w:rsidR="00C5502D" w:rsidRPr="00DA5613">
        <w:rPr>
          <w:rFonts w:asciiTheme="minorHAnsi" w:hAnsiTheme="minorHAnsi" w:cstheme="minorHAnsi"/>
        </w:rPr>
        <w:t>In doing so, they’ll save taxpayer $$ in futile litigation &amp; comply with TX law</w:t>
      </w:r>
      <w:r w:rsidR="002833A9">
        <w:rPr>
          <w:rFonts w:asciiTheme="minorHAnsi" w:hAnsiTheme="minorHAnsi" w:cstheme="minorHAnsi"/>
        </w:rPr>
        <w:t xml:space="preserve">.  </w:t>
      </w:r>
      <w:r w:rsidR="00C5502D" w:rsidRPr="00DA5613">
        <w:rPr>
          <w:rFonts w:asciiTheme="minorHAnsi" w:hAnsiTheme="minorHAnsi" w:cstheme="minorHAnsi"/>
        </w:rPr>
        <w:t>More ISDs are still breaking the law</w:t>
      </w:r>
      <w:r w:rsidR="002833A9">
        <w:rPr>
          <w:rFonts w:asciiTheme="minorHAnsi" w:hAnsiTheme="minorHAnsi" w:cstheme="minorHAnsi"/>
        </w:rPr>
        <w:t xml:space="preserve">.  </w:t>
      </w:r>
      <w:r w:rsidR="00C5502D" w:rsidRPr="00DA5613">
        <w:rPr>
          <w:rFonts w:asciiTheme="minorHAnsi" w:hAnsiTheme="minorHAnsi" w:cstheme="minorHAnsi"/>
        </w:rPr>
        <w:t>Lawsuits are coming against them THIS WEEK</w:t>
      </w:r>
      <w:r w:rsidR="002833A9">
        <w:rPr>
          <w:rFonts w:asciiTheme="minorHAnsi" w:hAnsiTheme="minorHAnsi" w:cstheme="minorHAnsi"/>
        </w:rPr>
        <w:t xml:space="preserve">.  </w:t>
      </w:r>
      <w:r w:rsidR="00C5502D" w:rsidRPr="00DA5613">
        <w:rPr>
          <w:rFonts w:asciiTheme="minorHAnsi" w:hAnsiTheme="minorHAnsi" w:cstheme="minorHAnsi"/>
        </w:rPr>
        <w:t xml:space="preserve">Rescind now or see you in court!” </w:t>
      </w:r>
      <w:r w:rsidR="002833A9">
        <w:rPr>
          <w:rFonts w:asciiTheme="minorHAnsi" w:hAnsiTheme="minorHAnsi" w:cstheme="minorHAnsi"/>
        </w:rPr>
        <w:t xml:space="preserve"> </w:t>
      </w:r>
      <w:r w:rsidR="00B22BC7" w:rsidRPr="00DA5613">
        <w:rPr>
          <w:rFonts w:asciiTheme="minorHAnsi" w:hAnsiTheme="minorHAnsi" w:cstheme="minorHAnsi"/>
        </w:rPr>
        <w:t xml:space="preserve">Ex. </w:t>
      </w:r>
      <w:r w:rsidR="0012412A">
        <w:rPr>
          <w:rFonts w:asciiTheme="minorHAnsi" w:hAnsiTheme="minorHAnsi" w:cstheme="minorHAnsi"/>
        </w:rPr>
        <w:t>143</w:t>
      </w:r>
      <w:r w:rsidR="00B22BC7" w:rsidRPr="00DA5613">
        <w:rPr>
          <w:rFonts w:asciiTheme="minorHAnsi" w:hAnsiTheme="minorHAnsi" w:cstheme="minorHAnsi"/>
        </w:rPr>
        <w:t xml:space="preserve"> (Defendant Paxton Tweet on September 7, 2021 at 3:40pm)</w:t>
      </w:r>
      <w:r w:rsidR="00254359">
        <w:rPr>
          <w:rFonts w:asciiTheme="minorHAnsi" w:hAnsiTheme="minorHAnsi" w:cstheme="minorHAnsi"/>
        </w:rPr>
        <w:t xml:space="preserve">.  </w:t>
      </w:r>
      <w:r w:rsidR="00B22BC7" w:rsidRPr="00DA5613">
        <w:rPr>
          <w:rFonts w:asciiTheme="minorHAnsi" w:hAnsiTheme="minorHAnsi" w:cstheme="minorHAnsi"/>
        </w:rPr>
        <w:t>This September 7 tweet embedded a copy of a newsletter that Trenton ISD issued to families in its community explaining that the district “received a letter from the Texas Attorney General’s office regarding compliance with Governor Abbott’s Executive Order GA-38” that “threatened litigation against the District” and “in an abundance of caution” the district would rescind its 10-day mask requirement</w:t>
      </w:r>
      <w:r w:rsidR="00DE6B57">
        <w:rPr>
          <w:rFonts w:asciiTheme="minorHAnsi" w:hAnsiTheme="minorHAnsi" w:cstheme="minorHAnsi"/>
        </w:rPr>
        <w:t xml:space="preserve">.”  </w:t>
      </w:r>
      <w:r w:rsidR="00B22BC7" w:rsidRPr="00DA5613">
        <w:rPr>
          <w:rFonts w:asciiTheme="minorHAnsi" w:hAnsiTheme="minorHAnsi" w:cstheme="minorHAnsi"/>
          <w:i/>
          <w:iCs/>
        </w:rPr>
        <w:t>Id</w:t>
      </w:r>
      <w:r w:rsidR="00B22BC7" w:rsidRPr="00DA5613">
        <w:rPr>
          <w:rFonts w:asciiTheme="minorHAnsi" w:hAnsiTheme="minorHAnsi" w:cstheme="minorHAnsi"/>
        </w:rPr>
        <w:t xml:space="preserve">. </w:t>
      </w:r>
    </w:p>
    <w:p w14:paraId="48DD958F" w14:textId="396F71F2" w:rsidR="00B22BC7" w:rsidRPr="00DA5613" w:rsidRDefault="00834C5A" w:rsidP="00254359">
      <w:pPr>
        <w:spacing w:line="480" w:lineRule="auto"/>
        <w:ind w:firstLine="720"/>
        <w:rPr>
          <w:rFonts w:asciiTheme="minorHAnsi" w:hAnsiTheme="minorHAnsi" w:cstheme="minorHAnsi"/>
        </w:rPr>
      </w:pPr>
      <w:r w:rsidRPr="00DA5613">
        <w:rPr>
          <w:rFonts w:asciiTheme="minorHAnsi" w:hAnsiTheme="minorHAnsi" w:cstheme="minorHAnsi"/>
        </w:rPr>
        <w:t>And on</w:t>
      </w:r>
      <w:r w:rsidR="00B22BC7" w:rsidRPr="00DA5613">
        <w:rPr>
          <w:rFonts w:asciiTheme="minorHAnsi" w:hAnsiTheme="minorHAnsi" w:cstheme="minorHAnsi"/>
        </w:rPr>
        <w:t xml:space="preserve"> September 14, </w:t>
      </w:r>
      <w:r w:rsidRPr="00DA5613">
        <w:rPr>
          <w:rFonts w:asciiTheme="minorHAnsi" w:hAnsiTheme="minorHAnsi" w:cstheme="minorHAnsi"/>
        </w:rPr>
        <w:t xml:space="preserve">Defendant Paxton </w:t>
      </w:r>
      <w:r w:rsidR="00B22BC7" w:rsidRPr="00DA5613">
        <w:rPr>
          <w:rFonts w:asciiTheme="minorHAnsi" w:hAnsiTheme="minorHAnsi" w:cstheme="minorHAnsi"/>
        </w:rPr>
        <w:t>tweeted: “I have filed 9 more lawsuits against the following ISDs for defying Exec. Order 38: La Vega, McGregor, Midway, Waco, Diboll, Lufkin, Longview, Paris and Honey Grove</w:t>
      </w:r>
      <w:r w:rsidR="00254359">
        <w:rPr>
          <w:rFonts w:asciiTheme="minorHAnsi" w:hAnsiTheme="minorHAnsi" w:cstheme="minorHAnsi"/>
        </w:rPr>
        <w:t xml:space="preserve">.  </w:t>
      </w:r>
      <w:r w:rsidR="00B22BC7" w:rsidRPr="00DA5613">
        <w:rPr>
          <w:rFonts w:asciiTheme="minorHAnsi" w:hAnsiTheme="minorHAnsi" w:cstheme="minorHAnsi"/>
        </w:rPr>
        <w:t xml:space="preserve">There will be more to come as lawlessness continues across the state.” </w:t>
      </w:r>
      <w:r w:rsidR="00254359">
        <w:rPr>
          <w:rFonts w:asciiTheme="minorHAnsi" w:hAnsiTheme="minorHAnsi" w:cstheme="minorHAnsi"/>
        </w:rPr>
        <w:t xml:space="preserve"> </w:t>
      </w:r>
      <w:r w:rsidR="00B22BC7" w:rsidRPr="00DA5613">
        <w:rPr>
          <w:rFonts w:asciiTheme="minorHAnsi" w:hAnsiTheme="minorHAnsi" w:cstheme="minorHAnsi"/>
        </w:rPr>
        <w:t xml:space="preserve">Ex. </w:t>
      </w:r>
      <w:r w:rsidR="0012412A">
        <w:rPr>
          <w:rFonts w:asciiTheme="minorHAnsi" w:hAnsiTheme="minorHAnsi" w:cstheme="minorHAnsi"/>
        </w:rPr>
        <w:t>147</w:t>
      </w:r>
      <w:r w:rsidR="00B22BC7" w:rsidRPr="00DA5613">
        <w:rPr>
          <w:rFonts w:asciiTheme="minorHAnsi" w:hAnsiTheme="minorHAnsi" w:cstheme="minorHAnsi"/>
        </w:rPr>
        <w:t xml:space="preserve"> (Defendant Paxton Tweet on September 14, 2021 at 11:48am). </w:t>
      </w:r>
      <w:r w:rsidR="00254359">
        <w:rPr>
          <w:rFonts w:asciiTheme="minorHAnsi" w:hAnsiTheme="minorHAnsi" w:cstheme="minorHAnsi"/>
        </w:rPr>
        <w:t xml:space="preserve"> </w:t>
      </w:r>
      <w:r w:rsidR="00B22BC7" w:rsidRPr="00DA5613">
        <w:rPr>
          <w:rFonts w:asciiTheme="minorHAnsi" w:hAnsiTheme="minorHAnsi" w:cstheme="minorHAnsi"/>
        </w:rPr>
        <w:t xml:space="preserve">Then, later that day, he tweeted: “A WIN: Paris ISD has been ordered to follow the law. </w:t>
      </w:r>
      <w:r w:rsidR="00254359">
        <w:rPr>
          <w:rFonts w:asciiTheme="minorHAnsi" w:hAnsiTheme="minorHAnsi" w:cstheme="minorHAnsi"/>
        </w:rPr>
        <w:t xml:space="preserve"> </w:t>
      </w:r>
      <w:r w:rsidR="00B22BC7" w:rsidRPr="00DA5613">
        <w:rPr>
          <w:rFonts w:asciiTheme="minorHAnsi" w:hAnsiTheme="minorHAnsi" w:cstheme="minorHAnsi"/>
        </w:rPr>
        <w:t>No mask mandate allowed as it clearly defies Exec Order 38.”</w:t>
      </w:r>
      <w:r w:rsidR="00254359">
        <w:rPr>
          <w:rFonts w:asciiTheme="minorHAnsi" w:hAnsiTheme="minorHAnsi" w:cstheme="minorHAnsi"/>
        </w:rPr>
        <w:t xml:space="preserve"> </w:t>
      </w:r>
      <w:r w:rsidR="00B22BC7" w:rsidRPr="00DA5613">
        <w:rPr>
          <w:rFonts w:asciiTheme="minorHAnsi" w:hAnsiTheme="minorHAnsi" w:cstheme="minorHAnsi"/>
        </w:rPr>
        <w:t xml:space="preserve"> Ex. </w:t>
      </w:r>
      <w:r w:rsidR="0012412A">
        <w:rPr>
          <w:rFonts w:asciiTheme="minorHAnsi" w:hAnsiTheme="minorHAnsi" w:cstheme="minorHAnsi"/>
        </w:rPr>
        <w:t>145</w:t>
      </w:r>
      <w:r w:rsidR="00B22BC7" w:rsidRPr="00DA5613">
        <w:rPr>
          <w:rFonts w:asciiTheme="minorHAnsi" w:hAnsiTheme="minorHAnsi" w:cstheme="minorHAnsi"/>
        </w:rPr>
        <w:t xml:space="preserve"> (Defendant Paxton Tweet on September 14 at 4:15pm).</w:t>
      </w:r>
    </w:p>
    <w:p w14:paraId="0B94B19B" w14:textId="14B9CD71" w:rsidR="005C2C6D" w:rsidRPr="00DA5613" w:rsidRDefault="005C2C6D" w:rsidP="00254359">
      <w:pPr>
        <w:spacing w:line="480" w:lineRule="auto"/>
        <w:ind w:firstLine="720"/>
        <w:rPr>
          <w:rFonts w:asciiTheme="minorHAnsi" w:hAnsiTheme="minorHAnsi" w:cstheme="minorHAnsi"/>
        </w:rPr>
      </w:pPr>
      <w:r w:rsidRPr="00DA5613">
        <w:rPr>
          <w:rFonts w:asciiTheme="minorHAnsi" w:hAnsiTheme="minorHAnsi" w:cstheme="minorHAnsi"/>
        </w:rPr>
        <w:t>Defendant Texas Education Agency assists the Office of the Attorney General in its enforcement efforts</w:t>
      </w:r>
      <w:r w:rsidR="00254359">
        <w:rPr>
          <w:rFonts w:asciiTheme="minorHAnsi" w:hAnsiTheme="minorHAnsi" w:cstheme="minorHAnsi"/>
        </w:rPr>
        <w:t xml:space="preserve">.  </w:t>
      </w:r>
      <w:r w:rsidRPr="00DA5613">
        <w:rPr>
          <w:rFonts w:asciiTheme="minorHAnsi" w:hAnsiTheme="minorHAnsi" w:cstheme="minorHAnsi"/>
        </w:rPr>
        <w:t xml:space="preserve">The TEA receives </w:t>
      </w:r>
      <w:r w:rsidR="00BB09A1" w:rsidRPr="00DA5613">
        <w:rPr>
          <w:rFonts w:asciiTheme="minorHAnsi" w:hAnsiTheme="minorHAnsi" w:cstheme="minorHAnsi"/>
        </w:rPr>
        <w:t>complaints from third parties (including parents, general members of the public, school officials, and external agencies)</w:t>
      </w:r>
      <w:r w:rsidRPr="00DA5613">
        <w:rPr>
          <w:rFonts w:asciiTheme="minorHAnsi" w:hAnsiTheme="minorHAnsi" w:cstheme="minorHAnsi"/>
        </w:rPr>
        <w:t xml:space="preserve"> identifying school districts that are not </w:t>
      </w:r>
      <w:r w:rsidR="00BB09A1" w:rsidRPr="00DA5613">
        <w:rPr>
          <w:rFonts w:asciiTheme="minorHAnsi" w:hAnsiTheme="minorHAnsi" w:cstheme="minorHAnsi"/>
        </w:rPr>
        <w:t>in compliance</w:t>
      </w:r>
      <w:r w:rsidRPr="00DA5613">
        <w:rPr>
          <w:rFonts w:asciiTheme="minorHAnsi" w:hAnsiTheme="minorHAnsi" w:cstheme="minorHAnsi"/>
        </w:rPr>
        <w:t xml:space="preserve"> with GA-38’s prohibition on mask mandates</w:t>
      </w:r>
      <w:r w:rsidR="00092631" w:rsidRPr="00DA5613">
        <w:rPr>
          <w:rFonts w:asciiTheme="minorHAnsi" w:hAnsiTheme="minorHAnsi" w:cstheme="minorHAnsi"/>
        </w:rPr>
        <w:t>, and then reports those schools—in a list submitted twice weekly—to the Office of the Attorney General</w:t>
      </w:r>
      <w:r w:rsidR="00254359">
        <w:rPr>
          <w:rFonts w:asciiTheme="minorHAnsi" w:hAnsiTheme="minorHAnsi" w:cstheme="minorHAnsi"/>
        </w:rPr>
        <w:t xml:space="preserve">.  </w:t>
      </w:r>
      <w:r w:rsidR="00BB09A1" w:rsidRPr="00DA5613">
        <w:rPr>
          <w:rFonts w:asciiTheme="minorHAnsi" w:hAnsiTheme="minorHAnsi" w:cstheme="minorHAnsi"/>
        </w:rPr>
        <w:t xml:space="preserve">Ex. </w:t>
      </w:r>
      <w:r w:rsidR="00CD6B45">
        <w:rPr>
          <w:rFonts w:asciiTheme="minorHAnsi" w:hAnsiTheme="minorHAnsi" w:cstheme="minorHAnsi"/>
        </w:rPr>
        <w:t>160</w:t>
      </w:r>
      <w:r w:rsidR="00BB09A1" w:rsidRPr="00DA5613">
        <w:rPr>
          <w:rFonts w:asciiTheme="minorHAnsi" w:hAnsiTheme="minorHAnsi" w:cstheme="minorHAnsi"/>
        </w:rPr>
        <w:t xml:space="preserve"> at </w:t>
      </w:r>
      <w:r w:rsidRPr="00DA5613">
        <w:rPr>
          <w:rFonts w:asciiTheme="minorHAnsi" w:hAnsiTheme="minorHAnsi" w:cstheme="minorHAnsi"/>
        </w:rPr>
        <w:t>18:</w:t>
      </w:r>
      <w:r w:rsidR="00BB09A1" w:rsidRPr="00DA5613">
        <w:rPr>
          <w:rFonts w:asciiTheme="minorHAnsi" w:hAnsiTheme="minorHAnsi" w:cstheme="minorHAnsi"/>
        </w:rPr>
        <w:t>15</w:t>
      </w:r>
      <w:r w:rsidR="0090791B">
        <w:rPr>
          <w:rFonts w:asciiTheme="minorHAnsi" w:hAnsiTheme="minorHAnsi" w:cstheme="minorHAnsi"/>
        </w:rPr>
        <w:t>-</w:t>
      </w:r>
      <w:r w:rsidR="00BB09A1" w:rsidRPr="00DA5613">
        <w:rPr>
          <w:rFonts w:asciiTheme="minorHAnsi" w:hAnsiTheme="minorHAnsi" w:cstheme="minorHAnsi"/>
        </w:rPr>
        <w:t>19:23; 21:12-17 (A. Jernigan Depo)</w:t>
      </w:r>
      <w:r w:rsidR="00EC0F84">
        <w:rPr>
          <w:rFonts w:asciiTheme="minorHAnsi" w:hAnsiTheme="minorHAnsi" w:cstheme="minorHAnsi"/>
        </w:rPr>
        <w:t>; Exs</w:t>
      </w:r>
      <w:r w:rsidR="00CD6B45">
        <w:rPr>
          <w:rFonts w:asciiTheme="minorHAnsi" w:hAnsiTheme="minorHAnsi" w:cstheme="minorHAnsi"/>
        </w:rPr>
        <w:t>. 343, 344, 345, 346, 347, 348, 349, 350, 351, 352 (Emails from TEA to Attorney General’s Office reporting noncompliant school districts).</w:t>
      </w:r>
    </w:p>
    <w:p w14:paraId="3A6E0523" w14:textId="4F01C8CE" w:rsidR="00483064" w:rsidRDefault="004366F3" w:rsidP="005C554A">
      <w:pPr>
        <w:spacing w:line="480" w:lineRule="auto"/>
        <w:ind w:firstLine="720"/>
        <w:rPr>
          <w:rFonts w:asciiTheme="minorHAnsi" w:hAnsiTheme="minorHAnsi" w:cstheme="minorHAnsi"/>
        </w:rPr>
      </w:pPr>
      <w:r w:rsidRPr="00DA5613">
        <w:rPr>
          <w:rFonts w:asciiTheme="minorHAnsi" w:hAnsiTheme="minorHAnsi" w:cstheme="minorHAnsi"/>
        </w:rPr>
        <w:t>The TEA further participates in enforcing GA-38 by issuing Public Health Guidance that reiterates the prohibition on mask requirements</w:t>
      </w:r>
      <w:r w:rsidR="00254359">
        <w:rPr>
          <w:rFonts w:asciiTheme="minorHAnsi" w:hAnsiTheme="minorHAnsi" w:cstheme="minorHAnsi"/>
        </w:rPr>
        <w:t xml:space="preserve">.  </w:t>
      </w:r>
      <w:r w:rsidR="00D12409" w:rsidRPr="00DA5613">
        <w:rPr>
          <w:rFonts w:asciiTheme="minorHAnsi" w:hAnsiTheme="minorHAnsi" w:cstheme="minorHAnsi"/>
        </w:rPr>
        <w:t>Since Executive Order GA-38 was issued, TEA has updated its Public Health Guidance four times: on August 5, August 19, September 2, and, most recently, September 17</w:t>
      </w:r>
      <w:r w:rsidR="00254359">
        <w:rPr>
          <w:rFonts w:asciiTheme="minorHAnsi" w:hAnsiTheme="minorHAnsi" w:cstheme="minorHAnsi"/>
        </w:rPr>
        <w:t xml:space="preserve">.  </w:t>
      </w:r>
      <w:r w:rsidR="00D12409" w:rsidRPr="00DA5613">
        <w:rPr>
          <w:rFonts w:asciiTheme="minorHAnsi" w:hAnsiTheme="minorHAnsi" w:cstheme="minorHAnsi"/>
        </w:rPr>
        <w:t xml:space="preserve">Ex. </w:t>
      </w:r>
      <w:r w:rsidR="002C7770">
        <w:rPr>
          <w:rFonts w:asciiTheme="minorHAnsi" w:hAnsiTheme="minorHAnsi" w:cstheme="minorHAnsi"/>
        </w:rPr>
        <w:t>4</w:t>
      </w:r>
      <w:r w:rsidR="00D12409" w:rsidRPr="00DA5613">
        <w:rPr>
          <w:rFonts w:asciiTheme="minorHAnsi" w:hAnsiTheme="minorHAnsi" w:cstheme="minorHAnsi"/>
        </w:rPr>
        <w:t xml:space="preserve"> (August 5, 2021 TEA Public Health Guidance); Ex. </w:t>
      </w:r>
      <w:r w:rsidR="002C7770">
        <w:rPr>
          <w:rFonts w:asciiTheme="minorHAnsi" w:hAnsiTheme="minorHAnsi" w:cstheme="minorHAnsi"/>
        </w:rPr>
        <w:t>5</w:t>
      </w:r>
      <w:r w:rsidR="00D12409" w:rsidRPr="00DA5613">
        <w:rPr>
          <w:rFonts w:asciiTheme="minorHAnsi" w:hAnsiTheme="minorHAnsi" w:cstheme="minorHAnsi"/>
        </w:rPr>
        <w:t xml:space="preserve"> (August 19, 2021 TEA Public Health Guidance); Ex. </w:t>
      </w:r>
      <w:r w:rsidR="002C7770">
        <w:rPr>
          <w:rFonts w:asciiTheme="minorHAnsi" w:hAnsiTheme="minorHAnsi" w:cstheme="minorHAnsi"/>
        </w:rPr>
        <w:t>3</w:t>
      </w:r>
      <w:r w:rsidR="00D12409" w:rsidRPr="00DA5613">
        <w:rPr>
          <w:rFonts w:asciiTheme="minorHAnsi" w:hAnsiTheme="minorHAnsi" w:cstheme="minorHAnsi"/>
        </w:rPr>
        <w:t xml:space="preserve"> (September 2, 2021 TEA Public Health Guidance); Ex. </w:t>
      </w:r>
      <w:r w:rsidR="002C7770">
        <w:rPr>
          <w:rFonts w:asciiTheme="minorHAnsi" w:hAnsiTheme="minorHAnsi" w:cstheme="minorHAnsi"/>
        </w:rPr>
        <w:t>2</w:t>
      </w:r>
      <w:r w:rsidR="00D12409" w:rsidRPr="00DA5613">
        <w:rPr>
          <w:rFonts w:asciiTheme="minorHAnsi" w:hAnsiTheme="minorHAnsi" w:cstheme="minorHAnsi"/>
        </w:rPr>
        <w:t xml:space="preserve"> (September 17, 2021 TEA Public Health Guidance)</w:t>
      </w:r>
      <w:r w:rsidR="00254359">
        <w:rPr>
          <w:rFonts w:asciiTheme="minorHAnsi" w:hAnsiTheme="minorHAnsi" w:cstheme="minorHAnsi"/>
        </w:rPr>
        <w:t xml:space="preserve">.  </w:t>
      </w:r>
      <w:r w:rsidR="007517E8" w:rsidRPr="00DA5613">
        <w:rPr>
          <w:rFonts w:asciiTheme="minorHAnsi" w:hAnsiTheme="minorHAnsi" w:cstheme="minorHAnsi"/>
        </w:rPr>
        <w:t>The August 5 Public Health Guidance stated: “Per GA-38, school systems cannot require students or staff to wear a mask</w:t>
      </w:r>
      <w:r w:rsidR="00254359">
        <w:rPr>
          <w:rFonts w:asciiTheme="minorHAnsi" w:hAnsiTheme="minorHAnsi" w:cstheme="minorHAnsi"/>
        </w:rPr>
        <w:t xml:space="preserve">.  </w:t>
      </w:r>
      <w:r w:rsidR="007517E8" w:rsidRPr="00DA5613">
        <w:rPr>
          <w:rFonts w:asciiTheme="minorHAnsi" w:hAnsiTheme="minorHAnsi" w:cstheme="minorHAnsi"/>
        </w:rPr>
        <w:t xml:space="preserve">GA-38 addresses government-mandated face coverings in response to the COVID-19 pandemic.” </w:t>
      </w:r>
      <w:r w:rsidR="00254359">
        <w:rPr>
          <w:rFonts w:asciiTheme="minorHAnsi" w:hAnsiTheme="minorHAnsi" w:cstheme="minorHAnsi"/>
        </w:rPr>
        <w:t xml:space="preserve"> </w:t>
      </w:r>
      <w:r w:rsidR="007517E8" w:rsidRPr="00DA5613">
        <w:rPr>
          <w:rFonts w:asciiTheme="minorHAnsi" w:hAnsiTheme="minorHAnsi" w:cstheme="minorHAnsi"/>
        </w:rPr>
        <w:t xml:space="preserve">Ex. </w:t>
      </w:r>
      <w:r w:rsidR="002C7770">
        <w:rPr>
          <w:rFonts w:asciiTheme="minorHAnsi" w:hAnsiTheme="minorHAnsi" w:cstheme="minorHAnsi"/>
        </w:rPr>
        <w:t xml:space="preserve">4 </w:t>
      </w:r>
      <w:r w:rsidR="007517E8" w:rsidRPr="00DA5613">
        <w:rPr>
          <w:rFonts w:asciiTheme="minorHAnsi" w:hAnsiTheme="minorHAnsi" w:cstheme="minorHAnsi"/>
        </w:rPr>
        <w:t xml:space="preserve">(August 5, 2021 TEA Public Health Guidance). On August 19, and then again on September 2, it stated: “Please note, mask provisions of GA-38 are not being enforced as the result of ongoing litigation.” </w:t>
      </w:r>
      <w:r w:rsidR="00254359">
        <w:rPr>
          <w:rFonts w:asciiTheme="minorHAnsi" w:hAnsiTheme="minorHAnsi" w:cstheme="minorHAnsi"/>
        </w:rPr>
        <w:t xml:space="preserve"> </w:t>
      </w:r>
      <w:r w:rsidR="007517E8" w:rsidRPr="00DA5613">
        <w:rPr>
          <w:rFonts w:asciiTheme="minorHAnsi" w:hAnsiTheme="minorHAnsi" w:cstheme="minorHAnsi"/>
        </w:rPr>
        <w:t xml:space="preserve">Ex. </w:t>
      </w:r>
      <w:r w:rsidR="002C7770">
        <w:rPr>
          <w:rFonts w:asciiTheme="minorHAnsi" w:hAnsiTheme="minorHAnsi" w:cstheme="minorHAnsi"/>
        </w:rPr>
        <w:t>5</w:t>
      </w:r>
      <w:r w:rsidR="007517E8" w:rsidRPr="00DA5613">
        <w:rPr>
          <w:rFonts w:asciiTheme="minorHAnsi" w:hAnsiTheme="minorHAnsi" w:cstheme="minorHAnsi"/>
        </w:rPr>
        <w:t xml:space="preserve"> (August 19 Public Health Guidance); Ex. </w:t>
      </w:r>
      <w:r w:rsidR="002C7770">
        <w:rPr>
          <w:rFonts w:asciiTheme="minorHAnsi" w:hAnsiTheme="minorHAnsi" w:cstheme="minorHAnsi"/>
        </w:rPr>
        <w:t>3</w:t>
      </w:r>
      <w:r w:rsidR="007517E8" w:rsidRPr="00DA5613">
        <w:rPr>
          <w:rFonts w:asciiTheme="minorHAnsi" w:hAnsiTheme="minorHAnsi" w:cstheme="minorHAnsi"/>
        </w:rPr>
        <w:t xml:space="preserve"> (September 2 Public Health Guidance). </w:t>
      </w:r>
      <w:r w:rsidR="00254359">
        <w:rPr>
          <w:rFonts w:asciiTheme="minorHAnsi" w:hAnsiTheme="minorHAnsi" w:cstheme="minorHAnsi"/>
        </w:rPr>
        <w:t xml:space="preserve"> </w:t>
      </w:r>
      <w:r w:rsidR="00EC0F84">
        <w:rPr>
          <w:rFonts w:asciiTheme="minorHAnsi" w:hAnsiTheme="minorHAnsi" w:cstheme="minorHAnsi"/>
        </w:rPr>
        <w:t>Even though at this time the TEA publicly told school districts in the state that GA-38’s mask provisions were not being forced, privately they were continuing to send lists of districts that had mask requirements to the Attorney General’s office. Ex</w:t>
      </w:r>
      <w:r w:rsidR="002C7770">
        <w:rPr>
          <w:rFonts w:asciiTheme="minorHAnsi" w:hAnsiTheme="minorHAnsi" w:cstheme="minorHAnsi"/>
        </w:rPr>
        <w:t>s</w:t>
      </w:r>
      <w:r w:rsidR="00EC0F84">
        <w:rPr>
          <w:rFonts w:asciiTheme="minorHAnsi" w:hAnsiTheme="minorHAnsi" w:cstheme="minorHAnsi"/>
        </w:rPr>
        <w:t>.</w:t>
      </w:r>
      <w:r w:rsidR="002C7770">
        <w:rPr>
          <w:rFonts w:asciiTheme="minorHAnsi" w:hAnsiTheme="minorHAnsi" w:cstheme="minorHAnsi"/>
        </w:rPr>
        <w:t xml:space="preserve"> 344, 345, 346, 348, 350, 351, 352</w:t>
      </w:r>
      <w:r w:rsidR="00EC0F84">
        <w:rPr>
          <w:rFonts w:asciiTheme="minorHAnsi" w:hAnsiTheme="minorHAnsi" w:cstheme="minorHAnsi"/>
        </w:rPr>
        <w:t>.  O</w:t>
      </w:r>
      <w:r w:rsidR="007517E8" w:rsidRPr="00DA5613">
        <w:rPr>
          <w:rFonts w:asciiTheme="minorHAnsi" w:hAnsiTheme="minorHAnsi" w:cstheme="minorHAnsi"/>
        </w:rPr>
        <w:t>n September 17,</w:t>
      </w:r>
      <w:r w:rsidR="00963F9A" w:rsidRPr="00DA5613">
        <w:rPr>
          <w:rFonts w:asciiTheme="minorHAnsi" w:hAnsiTheme="minorHAnsi" w:cstheme="minorHAnsi"/>
        </w:rPr>
        <w:t xml:space="preserve"> without explanation,</w:t>
      </w:r>
      <w:r w:rsidR="007517E8" w:rsidRPr="00DA5613">
        <w:rPr>
          <w:rFonts w:asciiTheme="minorHAnsi" w:hAnsiTheme="minorHAnsi" w:cstheme="minorHAnsi"/>
        </w:rPr>
        <w:t xml:space="preserve"> the Public Health Guidance reverted back to </w:t>
      </w:r>
      <w:r w:rsidR="00963F9A" w:rsidRPr="00DA5613">
        <w:rPr>
          <w:rFonts w:asciiTheme="minorHAnsi" w:hAnsiTheme="minorHAnsi" w:cstheme="minorHAnsi"/>
        </w:rPr>
        <w:t xml:space="preserve">the August 5 guidance stating that “[p]er GA-38, school systems cannot require students or staff to wear a mask.” </w:t>
      </w:r>
      <w:r w:rsidR="00254359">
        <w:rPr>
          <w:rFonts w:asciiTheme="minorHAnsi" w:hAnsiTheme="minorHAnsi" w:cstheme="minorHAnsi"/>
        </w:rPr>
        <w:t xml:space="preserve"> </w:t>
      </w:r>
      <w:r w:rsidR="00963F9A" w:rsidRPr="00DA5613">
        <w:rPr>
          <w:rFonts w:asciiTheme="minorHAnsi" w:hAnsiTheme="minorHAnsi" w:cstheme="minorHAnsi"/>
        </w:rPr>
        <w:t xml:space="preserve">Ex. </w:t>
      </w:r>
      <w:r w:rsidR="0052109B">
        <w:rPr>
          <w:rFonts w:asciiTheme="minorHAnsi" w:hAnsiTheme="minorHAnsi" w:cstheme="minorHAnsi"/>
        </w:rPr>
        <w:t>2</w:t>
      </w:r>
      <w:r w:rsidR="00963F9A" w:rsidRPr="00DA5613">
        <w:rPr>
          <w:rFonts w:asciiTheme="minorHAnsi" w:hAnsiTheme="minorHAnsi" w:cstheme="minorHAnsi"/>
        </w:rPr>
        <w:t xml:space="preserve"> (September 17 Public Health Guidance).</w:t>
      </w:r>
      <w:r w:rsidR="00254359">
        <w:rPr>
          <w:rFonts w:asciiTheme="minorHAnsi" w:hAnsiTheme="minorHAnsi" w:cstheme="minorHAnsi"/>
        </w:rPr>
        <w:t xml:space="preserve"> </w:t>
      </w:r>
      <w:r w:rsidR="00963F9A" w:rsidRPr="00DA5613">
        <w:rPr>
          <w:rFonts w:asciiTheme="minorHAnsi" w:hAnsiTheme="minorHAnsi" w:cstheme="minorHAnsi"/>
        </w:rPr>
        <w:t xml:space="preserve"> T</w:t>
      </w:r>
      <w:r w:rsidR="00A04886" w:rsidRPr="00DA5613">
        <w:rPr>
          <w:rFonts w:asciiTheme="minorHAnsi" w:hAnsiTheme="minorHAnsi" w:cstheme="minorHAnsi"/>
        </w:rPr>
        <w:t>EA’s</w:t>
      </w:r>
      <w:r w:rsidR="00963F9A" w:rsidRPr="00DA5613">
        <w:rPr>
          <w:rFonts w:asciiTheme="minorHAnsi" w:hAnsiTheme="minorHAnsi" w:cstheme="minorHAnsi"/>
        </w:rPr>
        <w:t xml:space="preserve"> purpose </w:t>
      </w:r>
      <w:r w:rsidR="00A04886" w:rsidRPr="00DA5613">
        <w:rPr>
          <w:rFonts w:asciiTheme="minorHAnsi" w:hAnsiTheme="minorHAnsi" w:cstheme="minorHAnsi"/>
        </w:rPr>
        <w:t>in issuing</w:t>
      </w:r>
      <w:r w:rsidR="00963F9A" w:rsidRPr="00DA5613">
        <w:rPr>
          <w:rFonts w:asciiTheme="minorHAnsi" w:hAnsiTheme="minorHAnsi" w:cstheme="minorHAnsi"/>
        </w:rPr>
        <w:t xml:space="preserve"> the August 5/September 17 guidance was to dissuade school districts from requiring masks. </w:t>
      </w:r>
      <w:r w:rsidR="00254359">
        <w:rPr>
          <w:rFonts w:asciiTheme="minorHAnsi" w:hAnsiTheme="minorHAnsi" w:cstheme="minorHAnsi"/>
        </w:rPr>
        <w:t xml:space="preserve"> </w:t>
      </w:r>
      <w:r w:rsidR="00963F9A" w:rsidRPr="00DA5613">
        <w:rPr>
          <w:rFonts w:asciiTheme="minorHAnsi" w:hAnsiTheme="minorHAnsi" w:cstheme="minorHAnsi"/>
        </w:rPr>
        <w:t xml:space="preserve">Ex. </w:t>
      </w:r>
      <w:r w:rsidR="0052109B">
        <w:rPr>
          <w:rFonts w:asciiTheme="minorHAnsi" w:hAnsiTheme="minorHAnsi" w:cstheme="minorHAnsi"/>
        </w:rPr>
        <w:t>160</w:t>
      </w:r>
      <w:r w:rsidR="00963F9A" w:rsidRPr="00DA5613">
        <w:rPr>
          <w:rFonts w:asciiTheme="minorHAnsi" w:hAnsiTheme="minorHAnsi" w:cstheme="minorHAnsi"/>
        </w:rPr>
        <w:t xml:space="preserve"> at 39:16-44:17 (A. Jernigan Depo)</w:t>
      </w:r>
      <w:r w:rsidR="005C554A">
        <w:rPr>
          <w:rFonts w:asciiTheme="minorHAnsi" w:hAnsiTheme="minorHAnsi" w:cstheme="minorHAnsi"/>
        </w:rPr>
        <w:t xml:space="preserve"> (“Q. (By Mr. Fox):</w:t>
      </w:r>
      <w:r w:rsidR="005C554A" w:rsidRPr="005C554A">
        <w:t xml:space="preserve"> </w:t>
      </w:r>
      <w:r w:rsidR="005C554A" w:rsidRPr="005C554A">
        <w:rPr>
          <w:rFonts w:asciiTheme="minorHAnsi" w:hAnsiTheme="minorHAnsi" w:cstheme="minorHAnsi"/>
        </w:rPr>
        <w:t>By including this mask</w:t>
      </w:r>
      <w:r w:rsidR="005C554A">
        <w:rPr>
          <w:rFonts w:asciiTheme="minorHAnsi" w:hAnsiTheme="minorHAnsi" w:cstheme="minorHAnsi"/>
        </w:rPr>
        <w:t xml:space="preserve"> </w:t>
      </w:r>
      <w:r w:rsidR="005C554A" w:rsidRPr="005C554A">
        <w:rPr>
          <w:rFonts w:asciiTheme="minorHAnsi" w:hAnsiTheme="minorHAnsi" w:cstheme="minorHAnsi"/>
        </w:rPr>
        <w:t>section, which says schools</w:t>
      </w:r>
      <w:r w:rsidR="0089071C">
        <w:rPr>
          <w:rFonts w:asciiTheme="minorHAnsi" w:hAnsiTheme="minorHAnsi" w:cstheme="minorHAnsi"/>
        </w:rPr>
        <w:t xml:space="preserve"> [</w:t>
      </w:r>
      <w:r w:rsidR="0089071C">
        <w:rPr>
          <w:rFonts w:asciiTheme="minorHAnsi" w:hAnsiTheme="minorHAnsi" w:cstheme="minorHAnsi"/>
          <w:i/>
          <w:iCs/>
        </w:rPr>
        <w:t>sic</w:t>
      </w:r>
      <w:r w:rsidR="0089071C">
        <w:rPr>
          <w:rFonts w:asciiTheme="minorHAnsi" w:hAnsiTheme="minorHAnsi" w:cstheme="minorHAnsi"/>
        </w:rPr>
        <w:t>]</w:t>
      </w:r>
      <w:r w:rsidR="005C554A" w:rsidRPr="005C554A">
        <w:rPr>
          <w:rFonts w:asciiTheme="minorHAnsi" w:hAnsiTheme="minorHAnsi" w:cstheme="minorHAnsi"/>
        </w:rPr>
        <w:t xml:space="preserve"> systems cannot require</w:t>
      </w:r>
      <w:r w:rsidR="005C554A">
        <w:rPr>
          <w:rFonts w:asciiTheme="minorHAnsi" w:hAnsiTheme="minorHAnsi" w:cstheme="minorHAnsi"/>
        </w:rPr>
        <w:t xml:space="preserve"> s</w:t>
      </w:r>
      <w:r w:rsidR="005C554A" w:rsidRPr="005C554A">
        <w:rPr>
          <w:rFonts w:asciiTheme="minorHAnsi" w:hAnsiTheme="minorHAnsi" w:cstheme="minorHAnsi"/>
        </w:rPr>
        <w:t>tudents or staff to wear a mask, did the</w:t>
      </w:r>
      <w:r w:rsidR="005C554A">
        <w:rPr>
          <w:rFonts w:asciiTheme="minorHAnsi" w:hAnsiTheme="minorHAnsi" w:cstheme="minorHAnsi"/>
        </w:rPr>
        <w:t xml:space="preserve"> </w:t>
      </w:r>
      <w:r w:rsidR="005C554A" w:rsidRPr="005C554A">
        <w:rPr>
          <w:rFonts w:asciiTheme="minorHAnsi" w:hAnsiTheme="minorHAnsi" w:cstheme="minorHAnsi"/>
        </w:rPr>
        <w:t>Texas Education Agency intend to dissuade school</w:t>
      </w:r>
      <w:r w:rsidR="005C554A">
        <w:rPr>
          <w:rFonts w:asciiTheme="minorHAnsi" w:hAnsiTheme="minorHAnsi" w:cstheme="minorHAnsi"/>
        </w:rPr>
        <w:t xml:space="preserve"> d</w:t>
      </w:r>
      <w:r w:rsidR="005C554A" w:rsidRPr="005C554A">
        <w:rPr>
          <w:rFonts w:asciiTheme="minorHAnsi" w:hAnsiTheme="minorHAnsi" w:cstheme="minorHAnsi"/>
        </w:rPr>
        <w:t>istricts from requiring masks?</w:t>
      </w:r>
      <w:r w:rsidR="005C554A">
        <w:rPr>
          <w:rFonts w:asciiTheme="minorHAnsi" w:hAnsiTheme="minorHAnsi" w:cstheme="minorHAnsi"/>
        </w:rPr>
        <w:t xml:space="preserve"> </w:t>
      </w:r>
      <w:r w:rsidR="005C554A" w:rsidRPr="005C554A">
        <w:rPr>
          <w:rFonts w:asciiTheme="minorHAnsi" w:hAnsiTheme="minorHAnsi" w:cstheme="minorHAnsi"/>
        </w:rPr>
        <w:t xml:space="preserve"> A.</w:t>
      </w:r>
      <w:r w:rsidR="005C554A">
        <w:rPr>
          <w:rFonts w:asciiTheme="minorHAnsi" w:hAnsiTheme="minorHAnsi" w:cstheme="minorHAnsi"/>
        </w:rPr>
        <w:t xml:space="preserve"> </w:t>
      </w:r>
      <w:r w:rsidR="005C554A" w:rsidRPr="005C554A">
        <w:rPr>
          <w:rFonts w:asciiTheme="minorHAnsi" w:hAnsiTheme="minorHAnsi" w:cstheme="minorHAnsi"/>
        </w:rPr>
        <w:t>Yes.</w:t>
      </w:r>
      <w:r w:rsidR="005C554A">
        <w:rPr>
          <w:rFonts w:asciiTheme="minorHAnsi" w:hAnsiTheme="minorHAnsi" w:cstheme="minorHAnsi"/>
        </w:rPr>
        <w:t>”).</w:t>
      </w:r>
      <w:r w:rsidR="00311485">
        <w:rPr>
          <w:rFonts w:asciiTheme="minorHAnsi" w:hAnsiTheme="minorHAnsi" w:cstheme="minorHAnsi"/>
        </w:rPr>
        <w:t xml:space="preserve"> </w:t>
      </w:r>
      <w:r w:rsidR="005C554A">
        <w:rPr>
          <w:rFonts w:asciiTheme="minorHAnsi" w:hAnsiTheme="minorHAnsi" w:cstheme="minorHAnsi"/>
        </w:rPr>
        <w:t xml:space="preserve"> </w:t>
      </w:r>
      <w:r w:rsidR="00311485" w:rsidRPr="00311485">
        <w:rPr>
          <w:rFonts w:asciiTheme="minorHAnsi" w:hAnsiTheme="minorHAnsi" w:cstheme="minorHAnsi"/>
        </w:rPr>
        <w:t>In addition, TEA and TEA Commissioner Morath’s powers with respect to Texas school districts are manifold, and both the Agency and Morath are at liberty to pursue a number of corrective actions against districts for any reason whatsoever, including, for example, noncompliance with its public health guidance and GA-38.</w:t>
      </w:r>
      <w:r w:rsidR="00311485">
        <w:rPr>
          <w:rStyle w:val="FootnoteReference"/>
          <w:rFonts w:asciiTheme="minorHAnsi" w:hAnsiTheme="minorHAnsi" w:cstheme="minorHAnsi"/>
        </w:rPr>
        <w:footnoteReference w:id="38"/>
      </w:r>
    </w:p>
    <w:p w14:paraId="393287E9" w14:textId="050FDA4F" w:rsidR="007517E8" w:rsidRPr="00DA5613" w:rsidRDefault="00483064" w:rsidP="00EC0F84">
      <w:pPr>
        <w:spacing w:line="480" w:lineRule="auto"/>
        <w:ind w:firstLine="720"/>
        <w:rPr>
          <w:rFonts w:asciiTheme="minorHAnsi" w:hAnsiTheme="minorHAnsi" w:cstheme="minorHAnsi"/>
        </w:rPr>
      </w:pPr>
      <w:r>
        <w:rPr>
          <w:rFonts w:asciiTheme="minorHAnsi" w:hAnsiTheme="minorHAnsi" w:cstheme="minorHAnsi"/>
        </w:rPr>
        <w:t xml:space="preserve">Defendants have received federal funding.  </w:t>
      </w:r>
      <w:r w:rsidR="0052109B">
        <w:t>Exs. 162, 339, 340, 342</w:t>
      </w:r>
      <w:r>
        <w:t>.</w:t>
      </w:r>
      <w:r w:rsidR="00963F9A" w:rsidRPr="00DA5613">
        <w:rPr>
          <w:rFonts w:asciiTheme="minorHAnsi" w:hAnsiTheme="minorHAnsi" w:cstheme="minorHAnsi"/>
        </w:rPr>
        <w:t xml:space="preserve"> </w:t>
      </w:r>
    </w:p>
    <w:p w14:paraId="3E85EE74" w14:textId="73874303" w:rsidR="004130C6" w:rsidRPr="00DA5613" w:rsidRDefault="004130C6" w:rsidP="00C701F4">
      <w:pPr>
        <w:pStyle w:val="pleadingtls2"/>
      </w:pPr>
      <w:bookmarkStart w:id="118" w:name="_Toc83814456"/>
      <w:bookmarkStart w:id="119" w:name="_Toc83846172"/>
      <w:bookmarkEnd w:id="109"/>
      <w:r w:rsidRPr="00DA5613">
        <w:t>ARGUMENT &amp; AUTHORITIES</w:t>
      </w:r>
      <w:bookmarkEnd w:id="118"/>
      <w:bookmarkEnd w:id="119"/>
    </w:p>
    <w:p w14:paraId="40C6448B" w14:textId="719518D3" w:rsidR="00FD6982" w:rsidRPr="00DA5613" w:rsidRDefault="00FD6982" w:rsidP="00C701F4">
      <w:pPr>
        <w:pStyle w:val="pleadingtls3"/>
      </w:pPr>
      <w:bookmarkStart w:id="120" w:name="_Toc83814457"/>
      <w:bookmarkStart w:id="121" w:name="_Toc83846173"/>
      <w:r w:rsidRPr="00DA5613">
        <w:t>The Court has subject matter jurisdiction.</w:t>
      </w:r>
      <w:bookmarkEnd w:id="120"/>
      <w:bookmarkEnd w:id="121"/>
    </w:p>
    <w:p w14:paraId="6F3A0134" w14:textId="375FCD2D" w:rsidR="00FD6982" w:rsidRPr="00DA5613" w:rsidRDefault="00FD6982" w:rsidP="00545E56">
      <w:pPr>
        <w:pStyle w:val="NoSpacing"/>
        <w:spacing w:line="480" w:lineRule="auto"/>
        <w:rPr>
          <w:rFonts w:asciiTheme="minorHAnsi" w:hAnsiTheme="minorHAnsi" w:cstheme="minorHAnsi"/>
          <w:b/>
          <w:bCs/>
        </w:rPr>
      </w:pPr>
      <w:r w:rsidRPr="00DA5613">
        <w:rPr>
          <w:rFonts w:asciiTheme="minorHAnsi" w:hAnsiTheme="minorHAnsi" w:cstheme="minorHAnsi"/>
          <w:b/>
          <w:bCs/>
        </w:rPr>
        <w:tab/>
      </w:r>
      <w:r w:rsidR="00791C05" w:rsidRPr="00DA5613">
        <w:rPr>
          <w:rFonts w:asciiTheme="minorHAnsi" w:hAnsiTheme="minorHAnsi" w:cstheme="minorHAnsi"/>
        </w:rPr>
        <w:t xml:space="preserve">This Court has subject matter jurisdiction over the claims in this case, and </w:t>
      </w:r>
      <w:r w:rsidR="00AF3EA0" w:rsidRPr="00DA5613">
        <w:rPr>
          <w:rFonts w:asciiTheme="minorHAnsi" w:hAnsiTheme="minorHAnsi" w:cstheme="minorHAnsi"/>
        </w:rPr>
        <w:t>neither</w:t>
      </w:r>
      <w:r w:rsidR="00791C05" w:rsidRPr="00DA5613">
        <w:rPr>
          <w:rFonts w:asciiTheme="minorHAnsi" w:hAnsiTheme="minorHAnsi" w:cstheme="minorHAnsi"/>
        </w:rPr>
        <w:t xml:space="preserve"> of Defendants’ arguments—sovereign immunity</w:t>
      </w:r>
      <w:r w:rsidR="00AF3EA0" w:rsidRPr="00DA5613">
        <w:rPr>
          <w:rFonts w:asciiTheme="minorHAnsi" w:hAnsiTheme="minorHAnsi" w:cstheme="minorHAnsi"/>
        </w:rPr>
        <w:t xml:space="preserve"> and lack of standing—has any merit.</w:t>
      </w:r>
      <w:r w:rsidR="00AF3EA0" w:rsidRPr="00DA5613">
        <w:rPr>
          <w:rFonts w:asciiTheme="minorHAnsi" w:hAnsiTheme="minorHAnsi" w:cstheme="minorHAnsi"/>
          <w:b/>
          <w:bCs/>
        </w:rPr>
        <w:t xml:space="preserve">  </w:t>
      </w:r>
      <w:r w:rsidR="00AF3EA0" w:rsidRPr="0052109B">
        <w:rPr>
          <w:rFonts w:asciiTheme="minorHAnsi" w:hAnsiTheme="minorHAnsi" w:cstheme="minorHAnsi"/>
          <w:i/>
          <w:iCs/>
        </w:rPr>
        <w:t>First</w:t>
      </w:r>
      <w:r w:rsidR="00AF3EA0" w:rsidRPr="00DA5613">
        <w:rPr>
          <w:rFonts w:asciiTheme="minorHAnsi" w:hAnsiTheme="minorHAnsi" w:cstheme="minorHAnsi"/>
        </w:rPr>
        <w:t xml:space="preserve">, Defendants cannot claim sovereign immunity with respect to </w:t>
      </w:r>
      <w:r w:rsidR="005A71E1">
        <w:rPr>
          <w:rFonts w:asciiTheme="minorHAnsi" w:hAnsiTheme="minorHAnsi" w:cstheme="minorHAnsi"/>
        </w:rPr>
        <w:t xml:space="preserve">the </w:t>
      </w:r>
      <w:r w:rsidR="00C9335B">
        <w:rPr>
          <w:rFonts w:asciiTheme="minorHAnsi" w:hAnsiTheme="minorHAnsi" w:cstheme="minorHAnsi"/>
        </w:rPr>
        <w:t>Rehabilitation Act</w:t>
      </w:r>
      <w:r w:rsidR="000F412D">
        <w:rPr>
          <w:rFonts w:asciiTheme="minorHAnsi" w:hAnsiTheme="minorHAnsi" w:cstheme="minorHAnsi"/>
        </w:rPr>
        <w:t xml:space="preserve"> or the ADA</w:t>
      </w:r>
      <w:r w:rsidR="00AF3EA0" w:rsidRPr="00DA5613">
        <w:rPr>
          <w:rFonts w:asciiTheme="minorHAnsi" w:hAnsiTheme="minorHAnsi" w:cstheme="minorHAnsi"/>
        </w:rPr>
        <w:t xml:space="preserve"> at all, as the State of Texas and its agencies have waived sovereign immunity as to </w:t>
      </w:r>
      <w:r w:rsidR="000841BA">
        <w:rPr>
          <w:rFonts w:asciiTheme="minorHAnsi" w:hAnsiTheme="minorHAnsi" w:cstheme="minorHAnsi"/>
        </w:rPr>
        <w:t xml:space="preserve">the Rehabilitation Act </w:t>
      </w:r>
      <w:r w:rsidR="00AF3EA0" w:rsidRPr="00DA5613">
        <w:rPr>
          <w:rFonts w:asciiTheme="minorHAnsi" w:hAnsiTheme="minorHAnsi" w:cstheme="minorHAnsi"/>
        </w:rPr>
        <w:t>claims</w:t>
      </w:r>
      <w:r w:rsidR="005A71E1">
        <w:rPr>
          <w:rFonts w:asciiTheme="minorHAnsi" w:hAnsiTheme="minorHAnsi" w:cstheme="minorHAnsi"/>
        </w:rPr>
        <w:t xml:space="preserve"> by accepting federal funds</w:t>
      </w:r>
      <w:r w:rsidR="000841BA">
        <w:rPr>
          <w:rFonts w:asciiTheme="minorHAnsi" w:hAnsiTheme="minorHAnsi" w:cstheme="minorHAnsi"/>
        </w:rPr>
        <w:t xml:space="preserve">, and Congress has </w:t>
      </w:r>
      <w:r w:rsidR="000841BA">
        <w:rPr>
          <w:rFonts w:asciiTheme="minorHAnsi" w:hAnsiTheme="minorHAnsi" w:cstheme="minorHAnsi"/>
          <w:color w:val="auto"/>
        </w:rPr>
        <w:t>validly abrogated state sovereign immunity to ADA claims in the educational context</w:t>
      </w:r>
      <w:r w:rsidR="00AF3EA0" w:rsidRPr="00DA5613">
        <w:rPr>
          <w:rFonts w:asciiTheme="minorHAnsi" w:hAnsiTheme="minorHAnsi" w:cstheme="minorHAnsi"/>
        </w:rPr>
        <w:t xml:space="preserve">.  </w:t>
      </w:r>
      <w:r w:rsidR="00AF3EA0" w:rsidRPr="0052109B">
        <w:rPr>
          <w:rFonts w:asciiTheme="minorHAnsi" w:hAnsiTheme="minorHAnsi" w:cstheme="minorHAnsi"/>
          <w:i/>
          <w:iCs/>
        </w:rPr>
        <w:t>Second</w:t>
      </w:r>
      <w:r w:rsidR="00AF3EA0" w:rsidRPr="00DA5613">
        <w:rPr>
          <w:rFonts w:asciiTheme="minorHAnsi" w:hAnsiTheme="minorHAnsi" w:cstheme="minorHAnsi"/>
        </w:rPr>
        <w:t xml:space="preserve">, and in any event, </w:t>
      </w:r>
      <w:r w:rsidRPr="00DA5613">
        <w:rPr>
          <w:rFonts w:asciiTheme="minorHAnsi" w:hAnsiTheme="minorHAnsi" w:cstheme="minorHAnsi"/>
        </w:rPr>
        <w:t xml:space="preserve">Plaintiffs can rely on </w:t>
      </w:r>
      <w:r w:rsidRPr="00DA5613">
        <w:rPr>
          <w:rFonts w:asciiTheme="minorHAnsi" w:hAnsiTheme="minorHAnsi" w:cstheme="minorHAnsi"/>
          <w:i/>
          <w:iCs/>
        </w:rPr>
        <w:t>Ex parte Young</w:t>
      </w:r>
      <w:r w:rsidRPr="00DA5613">
        <w:rPr>
          <w:rFonts w:asciiTheme="minorHAnsi" w:hAnsiTheme="minorHAnsi" w:cstheme="minorHAnsi"/>
        </w:rPr>
        <w:t xml:space="preserve"> to defeat Defendants’ sovereign</w:t>
      </w:r>
      <w:r w:rsidR="006F1B1B">
        <w:rPr>
          <w:rFonts w:asciiTheme="minorHAnsi" w:hAnsiTheme="minorHAnsi" w:cstheme="minorHAnsi"/>
        </w:rPr>
        <w:t xml:space="preserve"> </w:t>
      </w:r>
      <w:r w:rsidRPr="00DA5613">
        <w:rPr>
          <w:rFonts w:asciiTheme="minorHAnsi" w:hAnsiTheme="minorHAnsi" w:cstheme="minorHAnsi"/>
        </w:rPr>
        <w:t xml:space="preserve">immunity defense because </w:t>
      </w:r>
      <w:r w:rsidR="00C9335B">
        <w:rPr>
          <w:rFonts w:asciiTheme="minorHAnsi" w:hAnsiTheme="minorHAnsi" w:cstheme="minorHAnsi"/>
        </w:rPr>
        <w:t>Defendants</w:t>
      </w:r>
      <w:r w:rsidR="00AF3EA0" w:rsidRPr="00DA5613">
        <w:rPr>
          <w:rFonts w:asciiTheme="minorHAnsi" w:hAnsiTheme="minorHAnsi" w:cstheme="minorHAnsi"/>
        </w:rPr>
        <w:t xml:space="preserve"> </w:t>
      </w:r>
      <w:r w:rsidRPr="00DA5613">
        <w:rPr>
          <w:rFonts w:asciiTheme="minorHAnsi" w:hAnsiTheme="minorHAnsi" w:cstheme="minorHAnsi"/>
        </w:rPr>
        <w:t xml:space="preserve">are actively enforcing GA-38’s mask provisions against school districts and have the authority to do so.  </w:t>
      </w:r>
      <w:r w:rsidR="00AF3EA0" w:rsidRPr="00DA5613">
        <w:rPr>
          <w:rFonts w:asciiTheme="minorHAnsi" w:hAnsiTheme="minorHAnsi" w:cstheme="minorHAnsi"/>
        </w:rPr>
        <w:t xml:space="preserve">And finally, </w:t>
      </w:r>
      <w:r w:rsidRPr="00DA5613">
        <w:rPr>
          <w:rFonts w:asciiTheme="minorHAnsi" w:hAnsiTheme="minorHAnsi" w:cstheme="minorHAnsi"/>
        </w:rPr>
        <w:t xml:space="preserve">Plaintiffs have standing because Defendants’ actions are depriving them of </w:t>
      </w:r>
      <w:r w:rsidR="000841BA">
        <w:rPr>
          <w:rFonts w:asciiTheme="minorHAnsi" w:hAnsiTheme="minorHAnsi" w:cstheme="minorHAnsi"/>
        </w:rPr>
        <w:t xml:space="preserve">meaningful access to </w:t>
      </w:r>
      <w:r w:rsidR="00AF3EA0" w:rsidRPr="00DA5613">
        <w:rPr>
          <w:rFonts w:asciiTheme="minorHAnsi" w:hAnsiTheme="minorHAnsi" w:cstheme="minorHAnsi"/>
        </w:rPr>
        <w:t xml:space="preserve">an </w:t>
      </w:r>
      <w:r w:rsidRPr="00DA5613">
        <w:rPr>
          <w:rFonts w:asciiTheme="minorHAnsi" w:hAnsiTheme="minorHAnsi" w:cstheme="minorHAnsi"/>
        </w:rPr>
        <w:t xml:space="preserve">in-person public education.  </w:t>
      </w:r>
    </w:p>
    <w:p w14:paraId="1F4D18CF" w14:textId="4A862BA7" w:rsidR="00FD6982" w:rsidRPr="00DA5613" w:rsidRDefault="007E48CF" w:rsidP="00C701F4">
      <w:pPr>
        <w:pStyle w:val="pleadingtls4"/>
      </w:pPr>
      <w:bookmarkStart w:id="122" w:name="_Toc83814458"/>
      <w:bookmarkStart w:id="123" w:name="_Toc83846174"/>
      <w:r>
        <w:t>For Plaintiffs’ two statutory claims—Section 504 and the ADA—sovereign immunity is not available as a defense.</w:t>
      </w:r>
      <w:bookmarkEnd w:id="122"/>
      <w:bookmarkEnd w:id="123"/>
    </w:p>
    <w:p w14:paraId="1D4C9DD1" w14:textId="7FE90067" w:rsidR="007E48CF" w:rsidRDefault="007E48CF" w:rsidP="00545E56">
      <w:pPr>
        <w:pStyle w:val="NoSpacing"/>
        <w:spacing w:line="480" w:lineRule="auto"/>
        <w:ind w:firstLine="720"/>
        <w:rPr>
          <w:rFonts w:asciiTheme="minorHAnsi" w:hAnsiTheme="minorHAnsi" w:cstheme="minorHAnsi"/>
        </w:rPr>
      </w:pPr>
      <w:r>
        <w:rPr>
          <w:rFonts w:asciiTheme="minorHAnsi" w:hAnsiTheme="minorHAnsi" w:cstheme="minorHAnsi"/>
        </w:rPr>
        <w:t>For purposes of the claim under Section 504 of the Rehabilitation Act, sovereign immunity is not a defense, because t</w:t>
      </w:r>
      <w:r w:rsidR="00FD6982" w:rsidRPr="00DA5613">
        <w:rPr>
          <w:rFonts w:asciiTheme="minorHAnsi" w:hAnsiTheme="minorHAnsi" w:cstheme="minorHAnsi"/>
        </w:rPr>
        <w:t xml:space="preserve">he State of Texas and its agencies </w:t>
      </w:r>
      <w:r w:rsidR="00EC0F84">
        <w:rPr>
          <w:rFonts w:asciiTheme="minorHAnsi" w:hAnsiTheme="minorHAnsi" w:cstheme="minorHAnsi"/>
        </w:rPr>
        <w:t xml:space="preserve">(including Defendants) </w:t>
      </w:r>
      <w:r w:rsidR="00FD6982" w:rsidRPr="00DA5613">
        <w:rPr>
          <w:rFonts w:asciiTheme="minorHAnsi" w:hAnsiTheme="minorHAnsi" w:cstheme="minorHAnsi"/>
        </w:rPr>
        <w:t>have waived sovereign immunity by accepting federal funding.</w:t>
      </w:r>
      <w:r w:rsidR="00EC0F84">
        <w:rPr>
          <w:rStyle w:val="FootnoteReference"/>
          <w:sz w:val="23"/>
          <w:szCs w:val="23"/>
        </w:rPr>
        <w:footnoteReference w:id="39"/>
      </w:r>
      <w:r w:rsidR="00FD6982" w:rsidRPr="00DA5613">
        <w:rPr>
          <w:rFonts w:asciiTheme="minorHAnsi" w:hAnsiTheme="minorHAnsi" w:cstheme="minorHAnsi"/>
        </w:rPr>
        <w:t xml:space="preserve"> </w:t>
      </w:r>
      <w:r w:rsidR="00C9335B">
        <w:rPr>
          <w:rFonts w:asciiTheme="minorHAnsi" w:hAnsiTheme="minorHAnsi" w:cstheme="minorHAnsi"/>
        </w:rPr>
        <w:t xml:space="preserve"> </w:t>
      </w:r>
      <w:r w:rsidR="00FD6982" w:rsidRPr="00DA5613">
        <w:rPr>
          <w:rFonts w:asciiTheme="minorHAnsi" w:hAnsiTheme="minorHAnsi" w:cstheme="minorHAnsi"/>
          <w:i/>
          <w:iCs/>
        </w:rPr>
        <w:t>See</w:t>
      </w:r>
      <w:r w:rsidR="00FD6982" w:rsidRPr="00DA5613">
        <w:rPr>
          <w:rFonts w:asciiTheme="minorHAnsi" w:hAnsiTheme="minorHAnsi" w:cstheme="minorHAnsi"/>
        </w:rPr>
        <w:t xml:space="preserve"> 42 U.S.C. § 2000d-7(a) (“A State shall not be immune under the Eleventh Amendment</w:t>
      </w:r>
      <w:r w:rsidR="00EC0F84">
        <w:rPr>
          <w:rFonts w:asciiTheme="minorHAnsi" w:hAnsiTheme="minorHAnsi" w:cstheme="minorHAnsi"/>
        </w:rPr>
        <w:t xml:space="preserve"> . . . </w:t>
      </w:r>
      <w:r w:rsidR="00FD6982" w:rsidRPr="00DA5613">
        <w:rPr>
          <w:rFonts w:asciiTheme="minorHAnsi" w:hAnsiTheme="minorHAnsi" w:cstheme="minorHAnsi"/>
        </w:rPr>
        <w:t>from suit in Federal court for a violation of section 504 of the Rehabilitation Act of 1973</w:t>
      </w:r>
      <w:r w:rsidR="00EC0F84">
        <w:rPr>
          <w:rFonts w:asciiTheme="minorHAnsi" w:hAnsiTheme="minorHAnsi" w:cstheme="minorHAnsi"/>
        </w:rPr>
        <w:t xml:space="preserve"> . . .</w:t>
      </w:r>
      <w:r w:rsidR="00FD6982" w:rsidRPr="00DA5613">
        <w:rPr>
          <w:rFonts w:asciiTheme="minorHAnsi" w:hAnsiTheme="minorHAnsi" w:cstheme="minorHAnsi"/>
        </w:rPr>
        <w:t xml:space="preserve"> or the provisions of any other Federal statute prohibiting discrimination by recipients of Federal financial assistance.”);</w:t>
      </w:r>
      <w:r w:rsidR="00EC0F84">
        <w:rPr>
          <w:rFonts w:asciiTheme="minorHAnsi" w:hAnsiTheme="minorHAnsi" w:cstheme="minorHAnsi"/>
        </w:rPr>
        <w:t xml:space="preserve"> </w:t>
      </w:r>
      <w:r w:rsidR="00EC0F84">
        <w:rPr>
          <w:i/>
          <w:iCs/>
          <w:sz w:val="23"/>
          <w:szCs w:val="23"/>
        </w:rPr>
        <w:t>Pace v. Bogalusa City Sch. Bd</w:t>
      </w:r>
      <w:r w:rsidR="00EC0F84">
        <w:rPr>
          <w:sz w:val="23"/>
          <w:szCs w:val="23"/>
        </w:rPr>
        <w:t>., 403 F.3d 272, 287 (5th Cir. 2005) (en banc) (state agencies waive immunity from Section 504 claims by accepting federal funding);</w:t>
      </w:r>
      <w:r w:rsidR="00FD6982" w:rsidRPr="00DA5613">
        <w:rPr>
          <w:rFonts w:asciiTheme="minorHAnsi" w:hAnsiTheme="minorHAnsi" w:cstheme="minorHAnsi"/>
        </w:rPr>
        <w:t xml:space="preserve"> </w:t>
      </w:r>
      <w:r w:rsidR="00FD6982" w:rsidRPr="00DA5613">
        <w:rPr>
          <w:rFonts w:asciiTheme="minorHAnsi" w:hAnsiTheme="minorHAnsi" w:cstheme="minorHAnsi"/>
          <w:i/>
          <w:iCs/>
        </w:rPr>
        <w:t>Danny R. v. Spring Branch ISD &amp; Tex. Educ. Agency</w:t>
      </w:r>
      <w:r w:rsidR="00FD6982" w:rsidRPr="00DA5613">
        <w:rPr>
          <w:rFonts w:asciiTheme="minorHAnsi" w:hAnsiTheme="minorHAnsi" w:cstheme="minorHAnsi"/>
        </w:rPr>
        <w:t xml:space="preserve">, 124 Fed. Appx. 289, 289–90 (5th Cir. 2005) (TEA is not immune to suit under Section 504) (citing </w:t>
      </w:r>
      <w:r w:rsidR="00FD6982" w:rsidRPr="00DA5613">
        <w:rPr>
          <w:rFonts w:asciiTheme="minorHAnsi" w:hAnsiTheme="minorHAnsi" w:cstheme="minorHAnsi"/>
          <w:i/>
          <w:iCs/>
        </w:rPr>
        <w:t>Pace</w:t>
      </w:r>
      <w:r w:rsidR="00FD6982" w:rsidRPr="00DA5613">
        <w:rPr>
          <w:rFonts w:asciiTheme="minorHAnsi" w:hAnsiTheme="minorHAnsi" w:cstheme="minorHAnsi"/>
        </w:rPr>
        <w:t xml:space="preserve">, 403 F.3d at 272); </w:t>
      </w:r>
      <w:r w:rsidR="00FD6982" w:rsidRPr="00DA5613">
        <w:rPr>
          <w:rFonts w:asciiTheme="minorHAnsi" w:hAnsiTheme="minorHAnsi" w:cstheme="minorHAnsi"/>
          <w:i/>
          <w:iCs/>
        </w:rPr>
        <w:t>Miller v. Tex. Tech Univ. Health Sci. Ctr.</w:t>
      </w:r>
      <w:r w:rsidR="00FD6982" w:rsidRPr="00DA5613">
        <w:rPr>
          <w:rFonts w:asciiTheme="minorHAnsi" w:hAnsiTheme="minorHAnsi" w:cstheme="minorHAnsi"/>
        </w:rPr>
        <w:t>, 421 F.3d 342, 350 (5th Cir. 2005) (same for Louisiana DOE).</w:t>
      </w:r>
      <w:r w:rsidR="005A71E1">
        <w:rPr>
          <w:rFonts w:asciiTheme="minorHAnsi" w:hAnsiTheme="minorHAnsi" w:cstheme="minorHAnsi"/>
        </w:rPr>
        <w:t xml:space="preserve">  </w:t>
      </w:r>
    </w:p>
    <w:p w14:paraId="70DEBC1E" w14:textId="32CA0EB3" w:rsidR="007E48CF" w:rsidRDefault="007E48CF" w:rsidP="00545E56">
      <w:pPr>
        <w:pStyle w:val="NoSpacing"/>
        <w:spacing w:line="480" w:lineRule="auto"/>
        <w:ind w:firstLine="720"/>
        <w:rPr>
          <w:rFonts w:asciiTheme="minorHAnsi" w:hAnsiTheme="minorHAnsi" w:cstheme="minorHAnsi"/>
        </w:rPr>
      </w:pPr>
      <w:r>
        <w:rPr>
          <w:rFonts w:asciiTheme="minorHAnsi" w:hAnsiTheme="minorHAnsi" w:cstheme="minorHAnsi"/>
        </w:rPr>
        <w:t xml:space="preserve">As for </w:t>
      </w:r>
      <w:r w:rsidR="00EC0F84">
        <w:rPr>
          <w:rFonts w:asciiTheme="minorHAnsi" w:hAnsiTheme="minorHAnsi" w:cstheme="minorHAnsi"/>
        </w:rPr>
        <w:t>Plaintiffs’</w:t>
      </w:r>
      <w:r>
        <w:rPr>
          <w:rFonts w:asciiTheme="minorHAnsi" w:hAnsiTheme="minorHAnsi" w:cstheme="minorHAnsi"/>
        </w:rPr>
        <w:t xml:space="preserve"> claim</w:t>
      </w:r>
      <w:r w:rsidR="00EC0F84">
        <w:rPr>
          <w:rFonts w:asciiTheme="minorHAnsi" w:hAnsiTheme="minorHAnsi" w:cstheme="minorHAnsi"/>
        </w:rPr>
        <w:t>s</w:t>
      </w:r>
      <w:r>
        <w:rPr>
          <w:rFonts w:asciiTheme="minorHAnsi" w:hAnsiTheme="minorHAnsi" w:cstheme="minorHAnsi"/>
        </w:rPr>
        <w:t xml:space="preserve"> under the ADA, courts have consistently held that Congress </w:t>
      </w:r>
      <w:r w:rsidR="00EC0F84">
        <w:rPr>
          <w:rFonts w:asciiTheme="minorHAnsi" w:hAnsiTheme="minorHAnsi" w:cstheme="minorHAnsi"/>
        </w:rPr>
        <w:t>valid</w:t>
      </w:r>
      <w:r w:rsidR="005C554A">
        <w:rPr>
          <w:rFonts w:asciiTheme="minorHAnsi" w:hAnsiTheme="minorHAnsi" w:cstheme="minorHAnsi"/>
        </w:rPr>
        <w:t>l</w:t>
      </w:r>
      <w:r w:rsidR="00EC0F84">
        <w:rPr>
          <w:rFonts w:asciiTheme="minorHAnsi" w:hAnsiTheme="minorHAnsi" w:cstheme="minorHAnsi"/>
        </w:rPr>
        <w:t xml:space="preserve">y </w:t>
      </w:r>
      <w:r>
        <w:rPr>
          <w:rFonts w:asciiTheme="minorHAnsi" w:hAnsiTheme="minorHAnsi" w:cstheme="minorHAnsi"/>
        </w:rPr>
        <w:t>abrogated any sovereign immunity defense with respect to claims pertaining to public schools.</w:t>
      </w:r>
      <w:r w:rsidR="00EC0F84">
        <w:rPr>
          <w:rFonts w:asciiTheme="minorHAnsi" w:hAnsiTheme="minorHAnsi" w:cstheme="minorHAnsi"/>
        </w:rPr>
        <w:t xml:space="preserve">  </w:t>
      </w:r>
      <w:r w:rsidR="00EC0F84" w:rsidRPr="00EC0F84">
        <w:rPr>
          <w:rFonts w:asciiTheme="minorHAnsi" w:hAnsiTheme="minorHAnsi" w:cstheme="minorHAnsi"/>
          <w:i/>
          <w:iCs/>
        </w:rPr>
        <w:t>Ass’n for Disabled Americans, Inc. v. Fla. Int’l Univ.</w:t>
      </w:r>
      <w:r w:rsidR="00EC0F84" w:rsidRPr="00EC0F84">
        <w:rPr>
          <w:rFonts w:asciiTheme="minorHAnsi" w:hAnsiTheme="minorHAnsi" w:cstheme="minorHAnsi"/>
        </w:rPr>
        <w:t xml:space="preserve">, 405 F.3d 954, 958–59 (11th Cir. 2005) (concluding that “Title II of the ADA, as applied to access to public education, constitutes a valid exercise of Congress’s enforcement power under Section 5 of the Fourteenth Amendment”); </w:t>
      </w:r>
      <w:r w:rsidR="00EC0F84" w:rsidRPr="00EC0F84">
        <w:rPr>
          <w:rFonts w:asciiTheme="minorHAnsi" w:hAnsiTheme="minorHAnsi" w:cstheme="minorHAnsi"/>
          <w:i/>
          <w:iCs/>
        </w:rPr>
        <w:t>Constantine v. Rectors &amp; Visitors of George Mason Univ.</w:t>
      </w:r>
      <w:r w:rsidR="00EC0F84" w:rsidRPr="00EC0F84">
        <w:rPr>
          <w:rFonts w:asciiTheme="minorHAnsi" w:hAnsiTheme="minorHAnsi" w:cstheme="minorHAnsi"/>
        </w:rPr>
        <w:t xml:space="preserve">, 411 F.3d 474, 490 (4th Cir. 2005) (concluding that “Title II of the ADA is valid § 5 legislation, at least as it applies to public higher education”); </w:t>
      </w:r>
      <w:r w:rsidR="00EC0F84" w:rsidRPr="00EC0F84">
        <w:rPr>
          <w:rFonts w:asciiTheme="minorHAnsi" w:hAnsiTheme="minorHAnsi" w:cstheme="minorHAnsi"/>
          <w:i/>
          <w:iCs/>
        </w:rPr>
        <w:t>Bowers v. Nat’l Collegiate Athletic Ass’n</w:t>
      </w:r>
      <w:r w:rsidR="00EC0F84" w:rsidRPr="00EC0F84">
        <w:rPr>
          <w:rFonts w:asciiTheme="minorHAnsi" w:hAnsiTheme="minorHAnsi" w:cstheme="minorHAnsi"/>
        </w:rPr>
        <w:t xml:space="preserve">, 475 F.3d 524, 555 (3d Cir. 2007) (“[W]e join several sister circuits in holding that Congress acted within its Constitutional authority in abrogating sovereign immunity under Title II of the ADA.”); </w:t>
      </w:r>
      <w:r w:rsidR="00EC0F84" w:rsidRPr="00EC0F84">
        <w:rPr>
          <w:rFonts w:asciiTheme="minorHAnsi" w:hAnsiTheme="minorHAnsi" w:cstheme="minorHAnsi"/>
          <w:i/>
          <w:iCs/>
        </w:rPr>
        <w:t>Toledo v. Sanchez</w:t>
      </w:r>
      <w:r w:rsidR="00EC0F84" w:rsidRPr="00EC0F84">
        <w:rPr>
          <w:rFonts w:asciiTheme="minorHAnsi" w:hAnsiTheme="minorHAnsi" w:cstheme="minorHAnsi"/>
        </w:rPr>
        <w:t xml:space="preserve">, 454 F.3d 24, 40 (1st Cir. 2006) (“We are similarly persuaded that Title II’s prophylactic measures are justified by the persistent pattern of exclusion and irrational treatment of disabled students in public education, coupled with the gravity of the harm worked by such discrimination.”); </w:t>
      </w:r>
      <w:r w:rsidR="00EC0F84" w:rsidRPr="00EC0F84">
        <w:rPr>
          <w:rFonts w:asciiTheme="minorHAnsi" w:hAnsiTheme="minorHAnsi" w:cstheme="minorHAnsi"/>
          <w:i/>
          <w:iCs/>
        </w:rPr>
        <w:t>see also Guttman v. Khalsa</w:t>
      </w:r>
      <w:r w:rsidR="00EC0F84" w:rsidRPr="00EC0F84">
        <w:rPr>
          <w:rFonts w:asciiTheme="minorHAnsi" w:hAnsiTheme="minorHAnsi" w:cstheme="minorHAnsi"/>
        </w:rPr>
        <w:t>, 669 F.3d 1101, 1123 (10th Cir. 2012) (noting with approval the holdings</w:t>
      </w:r>
      <w:r w:rsidR="00EC0F84">
        <w:rPr>
          <w:rFonts w:asciiTheme="minorHAnsi" w:hAnsiTheme="minorHAnsi" w:cstheme="minorHAnsi"/>
        </w:rPr>
        <w:t xml:space="preserve"> in</w:t>
      </w:r>
      <w:r w:rsidR="00EC0F84" w:rsidRPr="00EC0F84">
        <w:rPr>
          <w:rFonts w:asciiTheme="minorHAnsi" w:hAnsiTheme="minorHAnsi" w:cstheme="minorHAnsi"/>
        </w:rPr>
        <w:t xml:space="preserve"> </w:t>
      </w:r>
      <w:r w:rsidR="00EC0F84" w:rsidRPr="00EC0F84">
        <w:rPr>
          <w:rFonts w:asciiTheme="minorHAnsi" w:hAnsiTheme="minorHAnsi" w:cstheme="minorHAnsi"/>
          <w:i/>
          <w:iCs/>
        </w:rPr>
        <w:t>Toledo</w:t>
      </w:r>
      <w:r w:rsidR="00EC0F84" w:rsidRPr="00EC0F84">
        <w:rPr>
          <w:rFonts w:asciiTheme="minorHAnsi" w:hAnsiTheme="minorHAnsi" w:cstheme="minorHAnsi"/>
        </w:rPr>
        <w:t xml:space="preserve">, </w:t>
      </w:r>
      <w:r w:rsidR="00EC0F84" w:rsidRPr="00EC0F84">
        <w:rPr>
          <w:rFonts w:asciiTheme="minorHAnsi" w:hAnsiTheme="minorHAnsi" w:cstheme="minorHAnsi"/>
          <w:i/>
          <w:iCs/>
        </w:rPr>
        <w:t>Constantine</w:t>
      </w:r>
      <w:r w:rsidR="00EC0F84" w:rsidRPr="00EC0F84">
        <w:rPr>
          <w:rFonts w:asciiTheme="minorHAnsi" w:hAnsiTheme="minorHAnsi" w:cstheme="minorHAnsi"/>
        </w:rPr>
        <w:t xml:space="preserve">, and </w:t>
      </w:r>
      <w:r w:rsidR="00EC0F84" w:rsidRPr="00EC0F84">
        <w:rPr>
          <w:rFonts w:asciiTheme="minorHAnsi" w:hAnsiTheme="minorHAnsi" w:cstheme="minorHAnsi"/>
          <w:i/>
          <w:iCs/>
        </w:rPr>
        <w:t>Assoc. for Disabled Ams., Inc.</w:t>
      </w:r>
      <w:r w:rsidR="00EC0F84" w:rsidRPr="00EC0F84">
        <w:rPr>
          <w:rFonts w:asciiTheme="minorHAnsi" w:hAnsiTheme="minorHAnsi" w:cstheme="minorHAnsi"/>
        </w:rPr>
        <w:t xml:space="preserve"> and recognizing that “the exceptionally well-documented history of irrational discrimination in schools is sufficient to compensate for the right’s limited value in the constitutional scheme”); </w:t>
      </w:r>
      <w:r w:rsidR="00EC0F84" w:rsidRPr="00EC0F84">
        <w:rPr>
          <w:rFonts w:asciiTheme="minorHAnsi" w:hAnsiTheme="minorHAnsi" w:cstheme="minorHAnsi"/>
          <w:i/>
          <w:iCs/>
        </w:rPr>
        <w:t>cf. Tennessee v. Lane</w:t>
      </w:r>
      <w:r w:rsidR="00EC0F84" w:rsidRPr="00EC0F84">
        <w:rPr>
          <w:rFonts w:asciiTheme="minorHAnsi" w:hAnsiTheme="minorHAnsi" w:cstheme="minorHAnsi"/>
        </w:rPr>
        <w:t>, 541 U.S. 509, 533–34 (2004) (similarly holding that Title II of the ADA validity abrogates sovereign immunity in cases implicating the right of access to the courts).</w:t>
      </w:r>
      <w:r>
        <w:rPr>
          <w:rFonts w:asciiTheme="minorHAnsi" w:hAnsiTheme="minorHAnsi" w:cstheme="minorHAnsi"/>
        </w:rPr>
        <w:t xml:space="preserve"> </w:t>
      </w:r>
      <w:r w:rsidRPr="00200849">
        <w:rPr>
          <w:rFonts w:asciiTheme="minorHAnsi" w:hAnsiTheme="minorHAnsi" w:cstheme="minorHAnsi"/>
          <w:b/>
          <w:bCs/>
        </w:rPr>
        <w:t xml:space="preserve"> </w:t>
      </w:r>
    </w:p>
    <w:p w14:paraId="61D13DE4" w14:textId="03F894CD" w:rsidR="00FD6982" w:rsidRPr="00DA5613" w:rsidRDefault="005A71E1" w:rsidP="00545E56">
      <w:pPr>
        <w:pStyle w:val="NoSpacing"/>
        <w:spacing w:line="480" w:lineRule="auto"/>
        <w:ind w:firstLine="720"/>
        <w:rPr>
          <w:rFonts w:asciiTheme="minorHAnsi" w:hAnsiTheme="minorHAnsi" w:cstheme="minorHAnsi"/>
        </w:rPr>
      </w:pPr>
      <w:r>
        <w:rPr>
          <w:rFonts w:asciiTheme="minorHAnsi" w:hAnsiTheme="minorHAnsi" w:cstheme="minorHAnsi"/>
        </w:rPr>
        <w:t>For these</w:t>
      </w:r>
      <w:r w:rsidR="007E48CF">
        <w:rPr>
          <w:rFonts w:asciiTheme="minorHAnsi" w:hAnsiTheme="minorHAnsi" w:cstheme="minorHAnsi"/>
        </w:rPr>
        <w:t xml:space="preserve"> statutory</w:t>
      </w:r>
      <w:r>
        <w:rPr>
          <w:rFonts w:asciiTheme="minorHAnsi" w:hAnsiTheme="minorHAnsi" w:cstheme="minorHAnsi"/>
        </w:rPr>
        <w:t xml:space="preserve"> claims, </w:t>
      </w:r>
      <w:r w:rsidR="007E48CF">
        <w:rPr>
          <w:rFonts w:asciiTheme="minorHAnsi" w:hAnsiTheme="minorHAnsi" w:cstheme="minorHAnsi"/>
        </w:rPr>
        <w:t xml:space="preserve">then, this Court need not address the application of </w:t>
      </w:r>
      <w:r w:rsidR="007E48CF" w:rsidRPr="007E48CF">
        <w:rPr>
          <w:rFonts w:asciiTheme="minorHAnsi" w:hAnsiTheme="minorHAnsi" w:cstheme="minorHAnsi"/>
          <w:i/>
          <w:iCs/>
        </w:rPr>
        <w:t>Ex parte Young</w:t>
      </w:r>
      <w:r w:rsidR="007E48CF">
        <w:rPr>
          <w:rFonts w:asciiTheme="minorHAnsi" w:hAnsiTheme="minorHAnsi" w:cstheme="minorHAnsi"/>
        </w:rPr>
        <w:t>; sovereign immunity is not available as a defense.</w:t>
      </w:r>
    </w:p>
    <w:p w14:paraId="31850FCC" w14:textId="769216CA" w:rsidR="004130C6" w:rsidRPr="005A71E1" w:rsidRDefault="004130C6" w:rsidP="00C701F4">
      <w:pPr>
        <w:pStyle w:val="pleadingtls4"/>
      </w:pPr>
      <w:bookmarkStart w:id="125" w:name="_Toc83814459"/>
      <w:bookmarkStart w:id="126" w:name="_Toc83846175"/>
      <w:r w:rsidRPr="00DA5613">
        <w:rPr>
          <w:i/>
          <w:iCs/>
        </w:rPr>
        <w:t xml:space="preserve">Ex </w:t>
      </w:r>
      <w:r w:rsidR="00BD4EF5">
        <w:rPr>
          <w:i/>
          <w:iCs/>
        </w:rPr>
        <w:t>parte</w:t>
      </w:r>
      <w:r w:rsidRPr="00DA5613">
        <w:rPr>
          <w:i/>
          <w:iCs/>
        </w:rPr>
        <w:t xml:space="preserve"> Young </w:t>
      </w:r>
      <w:r w:rsidRPr="00DA5613">
        <w:t xml:space="preserve">overcomes </w:t>
      </w:r>
      <w:r w:rsidR="00BD4EF5">
        <w:t xml:space="preserve">any </w:t>
      </w:r>
      <w:r w:rsidRPr="00DA5613">
        <w:t>sovereign</w:t>
      </w:r>
      <w:r w:rsidR="00BD4EF5">
        <w:t xml:space="preserve"> </w:t>
      </w:r>
      <w:r w:rsidRPr="00DA5613">
        <w:t xml:space="preserve">immunity defense </w:t>
      </w:r>
      <w:r w:rsidR="00BD4EF5">
        <w:t xml:space="preserve">in this case </w:t>
      </w:r>
      <w:r w:rsidRPr="00DA5613">
        <w:t xml:space="preserve">because Defendants are </w:t>
      </w:r>
      <w:r w:rsidR="00FD5D74">
        <w:t>actively</w:t>
      </w:r>
      <w:r w:rsidRPr="00DA5613">
        <w:t xml:space="preserve"> enforcing GA-38.</w:t>
      </w:r>
      <w:bookmarkEnd w:id="125"/>
      <w:bookmarkEnd w:id="126"/>
    </w:p>
    <w:p w14:paraId="39D5286B" w14:textId="4E5A0084" w:rsidR="004130C6" w:rsidRPr="00DA5613" w:rsidRDefault="004130C6" w:rsidP="00EC0F84">
      <w:pPr>
        <w:pStyle w:val="NoSpacing"/>
        <w:spacing w:line="480" w:lineRule="auto"/>
        <w:ind w:firstLine="720"/>
        <w:rPr>
          <w:rFonts w:asciiTheme="minorHAnsi" w:hAnsiTheme="minorHAnsi" w:cstheme="minorHAnsi"/>
        </w:rPr>
      </w:pPr>
      <w:r w:rsidRPr="00DA5613">
        <w:rPr>
          <w:rFonts w:asciiTheme="minorHAnsi" w:hAnsiTheme="minorHAnsi" w:cstheme="minorHAnsi"/>
        </w:rPr>
        <w:t xml:space="preserve">The </w:t>
      </w:r>
      <w:r w:rsidRPr="00DA5613">
        <w:rPr>
          <w:rFonts w:asciiTheme="minorHAnsi" w:hAnsiTheme="minorHAnsi" w:cstheme="minorHAnsi"/>
          <w:i/>
          <w:iCs/>
        </w:rPr>
        <w:t>Ex parte Young</w:t>
      </w:r>
      <w:r w:rsidRPr="00DA5613">
        <w:rPr>
          <w:rFonts w:asciiTheme="minorHAnsi" w:hAnsiTheme="minorHAnsi" w:cstheme="minorHAnsi"/>
        </w:rPr>
        <w:t xml:space="preserve"> doctrine is an exception to state sovereign immunity that allows federal courts to enjoin </w:t>
      </w:r>
      <w:r w:rsidR="00D85B5B">
        <w:rPr>
          <w:rFonts w:asciiTheme="minorHAnsi" w:hAnsiTheme="minorHAnsi" w:cstheme="minorHAnsi"/>
        </w:rPr>
        <w:t>state</w:t>
      </w:r>
      <w:r w:rsidRPr="00DA5613">
        <w:rPr>
          <w:rFonts w:asciiTheme="minorHAnsi" w:hAnsiTheme="minorHAnsi" w:cstheme="minorHAnsi"/>
        </w:rPr>
        <w:t xml:space="preserve"> officials from enforcing state law if the officials are sufficiently connected to the </w:t>
      </w:r>
      <w:r w:rsidR="00FD5D74">
        <w:rPr>
          <w:rFonts w:asciiTheme="minorHAnsi" w:hAnsiTheme="minorHAnsi" w:cstheme="minorHAnsi"/>
        </w:rPr>
        <w:t xml:space="preserve">law’s </w:t>
      </w:r>
      <w:r w:rsidRPr="00DA5613">
        <w:rPr>
          <w:rFonts w:asciiTheme="minorHAnsi" w:hAnsiTheme="minorHAnsi" w:cstheme="minorHAnsi"/>
        </w:rPr>
        <w:t xml:space="preserve">enforcement.  </w:t>
      </w:r>
      <w:r w:rsidR="00FD5D74" w:rsidRPr="00DA5613">
        <w:rPr>
          <w:rFonts w:asciiTheme="minorHAnsi" w:hAnsiTheme="minorHAnsi" w:cstheme="minorHAnsi"/>
          <w:i/>
          <w:iCs/>
        </w:rPr>
        <w:t>Ex parte Young</w:t>
      </w:r>
      <w:r w:rsidR="00FD5D74" w:rsidRPr="00DA5613">
        <w:rPr>
          <w:rFonts w:asciiTheme="minorHAnsi" w:hAnsiTheme="minorHAnsi" w:cstheme="minorHAnsi"/>
        </w:rPr>
        <w:t>, 209 U.S. 123, 157 (1907) (“In making an officer of the State a party defendant in a suit to enjoin the enforcement of an act alleged to be unconstitutional it is plain that such officer must have some connection with the enforcement of the act.”)</w:t>
      </w:r>
      <w:r w:rsidR="00FD5D74">
        <w:rPr>
          <w:rFonts w:asciiTheme="minorHAnsi" w:hAnsiTheme="minorHAnsi" w:cstheme="minorHAnsi"/>
        </w:rPr>
        <w:t xml:space="preserve">; </w:t>
      </w:r>
      <w:r w:rsidR="00FD5D74" w:rsidRPr="00FD5D74">
        <w:rPr>
          <w:rFonts w:asciiTheme="minorHAnsi" w:hAnsiTheme="minorHAnsi" w:cstheme="minorHAnsi"/>
          <w:i/>
          <w:iCs/>
        </w:rPr>
        <w:t xml:space="preserve">see also </w:t>
      </w:r>
      <w:r w:rsidRPr="00DA5613">
        <w:rPr>
          <w:rFonts w:asciiTheme="minorHAnsi" w:hAnsiTheme="minorHAnsi" w:cstheme="minorHAnsi"/>
          <w:i/>
          <w:iCs/>
        </w:rPr>
        <w:t>Va. Office for Prot. &amp; Advocacy v. Stewart</w:t>
      </w:r>
      <w:r w:rsidRPr="00DA5613">
        <w:rPr>
          <w:rFonts w:asciiTheme="minorHAnsi" w:hAnsiTheme="minorHAnsi" w:cstheme="minorHAnsi"/>
        </w:rPr>
        <w:t>, 563 U.S. 247, 255 (2011) (“[W]hen a federal court commands a state official to do nothing more than refrain from violating federal law, he is not the State for sovereign-immunity purposes.”)</w:t>
      </w:r>
      <w:r w:rsidR="00FD5D74">
        <w:rPr>
          <w:rFonts w:asciiTheme="minorHAnsi" w:hAnsiTheme="minorHAnsi" w:cstheme="minorHAnsi"/>
        </w:rPr>
        <w:t xml:space="preserve">. </w:t>
      </w:r>
      <w:r w:rsidRPr="00DA5613">
        <w:rPr>
          <w:rFonts w:asciiTheme="minorHAnsi" w:hAnsiTheme="minorHAnsi" w:cstheme="minorHAnsi"/>
        </w:rPr>
        <w:t xml:space="preserve"> </w:t>
      </w:r>
      <w:r w:rsidR="00FD5D74">
        <w:rPr>
          <w:rFonts w:asciiTheme="minorHAnsi" w:hAnsiTheme="minorHAnsi" w:cstheme="minorHAnsi"/>
        </w:rPr>
        <w:t xml:space="preserve">Defendants have argued that this doctrine is unavailable in this case because the challenged law does not expressly charge Defendants with its enforcement.  This reads the doctrine far too narrowly.  Defendants cannot deny that they have a sufficient connection to the enforcement of GA-38 </w:t>
      </w:r>
      <w:r w:rsidR="00FD5D74" w:rsidRPr="00FD5D74">
        <w:rPr>
          <w:rFonts w:asciiTheme="minorHAnsi" w:hAnsiTheme="minorHAnsi" w:cstheme="minorHAnsi"/>
          <w:b/>
          <w:bCs/>
          <w:i/>
          <w:iCs/>
        </w:rPr>
        <w:t xml:space="preserve">when they are actively enforcing it.  </w:t>
      </w:r>
      <w:r w:rsidR="00BA2B82">
        <w:rPr>
          <w:rFonts w:asciiTheme="minorHAnsi" w:hAnsiTheme="minorHAnsi" w:cstheme="minorHAnsi"/>
        </w:rPr>
        <w:t xml:space="preserve">This Court need go no farther than </w:t>
      </w:r>
      <w:r w:rsidR="00BA2B82" w:rsidRPr="00BA2B82">
        <w:rPr>
          <w:rFonts w:asciiTheme="minorHAnsi" w:hAnsiTheme="minorHAnsi" w:cstheme="minorHAnsi"/>
          <w:i/>
          <w:iCs/>
        </w:rPr>
        <w:t>Ex parte Young</w:t>
      </w:r>
      <w:r w:rsidR="00BA2B82">
        <w:rPr>
          <w:rFonts w:asciiTheme="minorHAnsi" w:hAnsiTheme="minorHAnsi" w:cstheme="minorHAnsi"/>
        </w:rPr>
        <w:t xml:space="preserve"> itself to reach this conclusion.  The Fifth Circuit’s cases are not—and cannot be—to the contrary.</w:t>
      </w:r>
      <w:r w:rsidR="00E74DAC">
        <w:rPr>
          <w:rFonts w:asciiTheme="minorHAnsi" w:hAnsiTheme="minorHAnsi" w:cstheme="minorHAnsi"/>
        </w:rPr>
        <w:t xml:space="preserve">  </w:t>
      </w:r>
    </w:p>
    <w:p w14:paraId="7CDF07A2" w14:textId="48067B1C" w:rsidR="004130C6" w:rsidRPr="00BA2B82" w:rsidRDefault="004A5EDB" w:rsidP="00C701F4">
      <w:pPr>
        <w:pStyle w:val="pleadingtls5"/>
      </w:pPr>
      <w:bookmarkStart w:id="127" w:name="_Toc83814460"/>
      <w:bookmarkStart w:id="128" w:name="_Toc83846176"/>
      <w:r>
        <w:t xml:space="preserve">On its face, </w:t>
      </w:r>
      <w:r w:rsidR="004130C6" w:rsidRPr="00DA5613">
        <w:rPr>
          <w:i/>
          <w:iCs/>
        </w:rPr>
        <w:t xml:space="preserve">Ex parte Young </w:t>
      </w:r>
      <w:r w:rsidR="00C30256">
        <w:t>deprives a state official of sovereign immunity when he is enforcing a law that violates federal law.</w:t>
      </w:r>
      <w:bookmarkEnd w:id="127"/>
      <w:bookmarkEnd w:id="128"/>
      <w:r w:rsidR="00C30256">
        <w:t xml:space="preserve">  </w:t>
      </w:r>
    </w:p>
    <w:p w14:paraId="62B4924C" w14:textId="12D25964" w:rsidR="00E72FB5" w:rsidRDefault="004130C6" w:rsidP="00EC0F84">
      <w:pPr>
        <w:pStyle w:val="NoSpacing"/>
        <w:spacing w:line="480" w:lineRule="auto"/>
        <w:ind w:firstLine="720"/>
        <w:rPr>
          <w:rFonts w:asciiTheme="minorHAnsi" w:hAnsiTheme="minorHAnsi" w:cstheme="minorHAnsi"/>
        </w:rPr>
      </w:pPr>
      <w:r w:rsidRPr="00DA5613">
        <w:rPr>
          <w:rFonts w:asciiTheme="minorHAnsi" w:hAnsiTheme="minorHAnsi" w:cstheme="minorHAnsi"/>
          <w:i/>
          <w:iCs/>
        </w:rPr>
        <w:t>Ex parte</w:t>
      </w:r>
      <w:r w:rsidRPr="00DA5613">
        <w:rPr>
          <w:rFonts w:asciiTheme="minorHAnsi" w:hAnsiTheme="minorHAnsi" w:cstheme="minorHAnsi"/>
        </w:rPr>
        <w:t xml:space="preserve"> </w:t>
      </w:r>
      <w:r w:rsidRPr="00DA5613">
        <w:rPr>
          <w:rFonts w:asciiTheme="minorHAnsi" w:hAnsiTheme="minorHAnsi" w:cstheme="minorHAnsi"/>
          <w:i/>
          <w:iCs/>
        </w:rPr>
        <w:t>Young</w:t>
      </w:r>
      <w:r w:rsidRPr="00DA5613">
        <w:rPr>
          <w:rFonts w:asciiTheme="minorHAnsi" w:hAnsiTheme="minorHAnsi" w:cstheme="minorHAnsi"/>
        </w:rPr>
        <w:t xml:space="preserve"> </w:t>
      </w:r>
      <w:r w:rsidR="0065677A" w:rsidRPr="0065677A">
        <w:rPr>
          <w:rFonts w:asciiTheme="minorHAnsi" w:hAnsiTheme="minorHAnsi" w:cstheme="minorHAnsi"/>
        </w:rPr>
        <w:t xml:space="preserve">allows </w:t>
      </w:r>
      <w:r w:rsidR="0065677A">
        <w:rPr>
          <w:rFonts w:asciiTheme="minorHAnsi" w:hAnsiTheme="minorHAnsi" w:cstheme="minorHAnsi"/>
        </w:rPr>
        <w:t xml:space="preserve">a plaintiff to seek a federal court injunction against a state court official—notwithstanding the State’s sovereign immunity—when the official is enforcing a state law that is contrary to federal law or the U.S. Constitution.  </w:t>
      </w:r>
      <w:r w:rsidRPr="00DA5613">
        <w:rPr>
          <w:rFonts w:asciiTheme="minorHAnsi" w:hAnsiTheme="minorHAnsi" w:cstheme="minorHAnsi"/>
          <w:i/>
          <w:iCs/>
        </w:rPr>
        <w:t>Young</w:t>
      </w:r>
      <w:r w:rsidRPr="00DA5613">
        <w:rPr>
          <w:rFonts w:asciiTheme="minorHAnsi" w:hAnsiTheme="minorHAnsi" w:cstheme="minorHAnsi"/>
        </w:rPr>
        <w:t xml:space="preserve">, 209 U.S. at 155–56.  In </w:t>
      </w:r>
      <w:r w:rsidRPr="00DA5613">
        <w:rPr>
          <w:rFonts w:asciiTheme="minorHAnsi" w:hAnsiTheme="minorHAnsi" w:cstheme="minorHAnsi"/>
          <w:i/>
          <w:iCs/>
        </w:rPr>
        <w:t>Ex parte Young</w:t>
      </w:r>
      <w:r w:rsidRPr="00DA5613">
        <w:rPr>
          <w:rFonts w:asciiTheme="minorHAnsi" w:hAnsiTheme="minorHAnsi" w:cstheme="minorHAnsi"/>
        </w:rPr>
        <w:t xml:space="preserve">, </w:t>
      </w:r>
      <w:r w:rsidR="00E72FB5">
        <w:rPr>
          <w:rFonts w:asciiTheme="minorHAnsi" w:hAnsiTheme="minorHAnsi" w:cstheme="minorHAnsi"/>
        </w:rPr>
        <w:t xml:space="preserve">the plaintiffs argued that </w:t>
      </w:r>
      <w:r w:rsidRPr="00DA5613">
        <w:rPr>
          <w:rFonts w:asciiTheme="minorHAnsi" w:hAnsiTheme="minorHAnsi" w:cstheme="minorHAnsi"/>
        </w:rPr>
        <w:t>railroad rates set by the Minnesota legislature were unconstitutional and sought to enjoin Minnesota’s attorney general</w:t>
      </w:r>
      <w:r w:rsidR="0065677A">
        <w:rPr>
          <w:rFonts w:asciiTheme="minorHAnsi" w:hAnsiTheme="minorHAnsi" w:cstheme="minorHAnsi"/>
        </w:rPr>
        <w:t xml:space="preserve"> </w:t>
      </w:r>
      <w:r w:rsidRPr="00DA5613">
        <w:rPr>
          <w:rFonts w:asciiTheme="minorHAnsi" w:hAnsiTheme="minorHAnsi" w:cstheme="minorHAnsi"/>
        </w:rPr>
        <w:t xml:space="preserve">from enforcing </w:t>
      </w:r>
      <w:r w:rsidR="0065677A">
        <w:rPr>
          <w:rFonts w:asciiTheme="minorHAnsi" w:hAnsiTheme="minorHAnsi" w:cstheme="minorHAnsi"/>
        </w:rPr>
        <w:t>th</w:t>
      </w:r>
      <w:r w:rsidR="00073318">
        <w:rPr>
          <w:rFonts w:asciiTheme="minorHAnsi" w:hAnsiTheme="minorHAnsi" w:cstheme="minorHAnsi"/>
        </w:rPr>
        <w:t>em</w:t>
      </w:r>
      <w:r w:rsidRPr="00DA5613">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xml:space="preserve"> at </w:t>
      </w:r>
      <w:r w:rsidR="0058568F">
        <w:rPr>
          <w:rFonts w:asciiTheme="minorHAnsi" w:hAnsiTheme="minorHAnsi" w:cstheme="minorHAnsi"/>
        </w:rPr>
        <w:t>127–29</w:t>
      </w:r>
      <w:r w:rsidRPr="00DA5613">
        <w:rPr>
          <w:rFonts w:asciiTheme="minorHAnsi" w:hAnsiTheme="minorHAnsi" w:cstheme="minorHAnsi"/>
        </w:rPr>
        <w:t xml:space="preserve">.  The trial court granted a preliminary injunction </w:t>
      </w:r>
      <w:r w:rsidR="00073318">
        <w:rPr>
          <w:rFonts w:asciiTheme="minorHAnsi" w:hAnsiTheme="minorHAnsi" w:cstheme="minorHAnsi"/>
        </w:rPr>
        <w:t xml:space="preserve">against the </w:t>
      </w:r>
      <w:r w:rsidR="00E72FB5">
        <w:rPr>
          <w:rFonts w:asciiTheme="minorHAnsi" w:hAnsiTheme="minorHAnsi" w:cstheme="minorHAnsi"/>
        </w:rPr>
        <w:t>attorney general that precluded him from enforcing the rates</w:t>
      </w:r>
      <w:r w:rsidRPr="00DA5613">
        <w:rPr>
          <w:rFonts w:asciiTheme="minorHAnsi" w:hAnsiTheme="minorHAnsi" w:cstheme="minorHAnsi"/>
        </w:rPr>
        <w:t xml:space="preserve">.  </w:t>
      </w:r>
      <w:r w:rsidRPr="00DA5613">
        <w:rPr>
          <w:rFonts w:asciiTheme="minorHAnsi" w:hAnsiTheme="minorHAnsi" w:cstheme="minorHAnsi"/>
          <w:i/>
        </w:rPr>
        <w:t>Id.</w:t>
      </w:r>
      <w:r w:rsidRPr="00DA5613">
        <w:rPr>
          <w:rFonts w:asciiTheme="minorHAnsi" w:hAnsiTheme="minorHAnsi" w:cstheme="minorHAnsi"/>
          <w:iCs/>
        </w:rPr>
        <w:t xml:space="preserve"> at </w:t>
      </w:r>
      <w:r w:rsidR="00B70B66" w:rsidRPr="00AA7DF9">
        <w:rPr>
          <w:rFonts w:asciiTheme="minorHAnsi" w:hAnsiTheme="minorHAnsi" w:cstheme="minorHAnsi"/>
          <w:iCs/>
        </w:rPr>
        <w:t>132</w:t>
      </w:r>
      <w:r w:rsidRPr="00AA7DF9">
        <w:rPr>
          <w:rFonts w:asciiTheme="minorHAnsi" w:hAnsiTheme="minorHAnsi" w:cstheme="minorHAnsi"/>
          <w:iCs/>
        </w:rPr>
        <w:t>.</w:t>
      </w:r>
      <w:r w:rsidRPr="00DA5613">
        <w:rPr>
          <w:rFonts w:asciiTheme="minorHAnsi" w:hAnsiTheme="minorHAnsi" w:cstheme="minorHAnsi"/>
        </w:rPr>
        <w:t xml:space="preserve">  </w:t>
      </w:r>
      <w:r w:rsidR="00073318">
        <w:rPr>
          <w:rFonts w:asciiTheme="minorHAnsi" w:hAnsiTheme="minorHAnsi" w:cstheme="minorHAnsi"/>
        </w:rPr>
        <w:t xml:space="preserve">The attorney general proceeded to </w:t>
      </w:r>
      <w:r w:rsidRPr="00DA5613">
        <w:rPr>
          <w:rFonts w:asciiTheme="minorHAnsi" w:hAnsiTheme="minorHAnsi" w:cstheme="minorHAnsi"/>
        </w:rPr>
        <w:t>violate the injunction by attempting to enforce the rates in state-court actions, and the trial court held him in contemp</w:t>
      </w:r>
      <w:r w:rsidR="00073318">
        <w:rPr>
          <w:rFonts w:asciiTheme="minorHAnsi" w:hAnsiTheme="minorHAnsi" w:cstheme="minorHAnsi"/>
        </w:rPr>
        <w:t>t</w:t>
      </w:r>
      <w:r w:rsidRPr="00DA5613">
        <w:rPr>
          <w:rFonts w:asciiTheme="minorHAnsi" w:hAnsiTheme="minorHAnsi" w:cstheme="minorHAnsi"/>
        </w:rPr>
        <w:t>.</w:t>
      </w:r>
      <w:r w:rsidR="00073318">
        <w:rPr>
          <w:rFonts w:asciiTheme="minorHAnsi" w:hAnsiTheme="minorHAnsi" w:cstheme="minorHAnsi"/>
        </w:rPr>
        <w:t xml:space="preserve"> </w:t>
      </w:r>
      <w:r w:rsidRPr="00DA5613">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xml:space="preserve"> at </w:t>
      </w:r>
      <w:r w:rsidR="00B70B66">
        <w:rPr>
          <w:rFonts w:asciiTheme="minorHAnsi" w:hAnsiTheme="minorHAnsi" w:cstheme="minorHAnsi"/>
        </w:rPr>
        <w:t>133–34</w:t>
      </w:r>
      <w:r w:rsidRPr="00DA5613">
        <w:rPr>
          <w:rFonts w:asciiTheme="minorHAnsi" w:hAnsiTheme="minorHAnsi" w:cstheme="minorHAnsi"/>
        </w:rPr>
        <w:t xml:space="preserve">.  The case reached the Supreme Court </w:t>
      </w:r>
      <w:r w:rsidR="00073318">
        <w:rPr>
          <w:rFonts w:asciiTheme="minorHAnsi" w:hAnsiTheme="minorHAnsi" w:cstheme="minorHAnsi"/>
        </w:rPr>
        <w:t xml:space="preserve">by way of the attorney general’s </w:t>
      </w:r>
      <w:r w:rsidRPr="00DA5613">
        <w:rPr>
          <w:rFonts w:asciiTheme="minorHAnsi" w:hAnsiTheme="minorHAnsi" w:cstheme="minorHAnsi"/>
        </w:rPr>
        <w:t xml:space="preserve">habeas corpus petition.  </w:t>
      </w:r>
      <w:r w:rsidRPr="00DA5613">
        <w:rPr>
          <w:rFonts w:asciiTheme="minorHAnsi" w:hAnsiTheme="minorHAnsi" w:cstheme="minorHAnsi"/>
          <w:i/>
          <w:iCs/>
        </w:rPr>
        <w:t>Id.</w:t>
      </w:r>
      <w:r w:rsidRPr="00DA5613">
        <w:rPr>
          <w:rFonts w:asciiTheme="minorHAnsi" w:hAnsiTheme="minorHAnsi" w:cstheme="minorHAnsi"/>
        </w:rPr>
        <w:t xml:space="preserve"> at </w:t>
      </w:r>
      <w:r w:rsidR="00B70B66" w:rsidRPr="00AA7DF9">
        <w:rPr>
          <w:rFonts w:asciiTheme="minorHAnsi" w:hAnsiTheme="minorHAnsi" w:cstheme="minorHAnsi"/>
        </w:rPr>
        <w:t>126</w:t>
      </w:r>
      <w:r w:rsidRPr="00AA7DF9">
        <w:rPr>
          <w:rFonts w:asciiTheme="minorHAnsi" w:hAnsiTheme="minorHAnsi" w:cstheme="minorHAnsi"/>
        </w:rPr>
        <w:t>.</w:t>
      </w:r>
      <w:r w:rsidRPr="00DA5613">
        <w:rPr>
          <w:rFonts w:asciiTheme="minorHAnsi" w:hAnsiTheme="minorHAnsi" w:cstheme="minorHAnsi"/>
        </w:rPr>
        <w:t xml:space="preserve">  </w:t>
      </w:r>
      <w:r w:rsidR="00073318">
        <w:rPr>
          <w:rFonts w:asciiTheme="minorHAnsi" w:hAnsiTheme="minorHAnsi" w:cstheme="minorHAnsi"/>
        </w:rPr>
        <w:t xml:space="preserve">He </w:t>
      </w:r>
      <w:r w:rsidRPr="00DA5613">
        <w:rPr>
          <w:rFonts w:asciiTheme="minorHAnsi" w:hAnsiTheme="minorHAnsi" w:cstheme="minorHAnsi"/>
        </w:rPr>
        <w:t xml:space="preserve">argued that the trial court lacked jurisdiction because the </w:t>
      </w:r>
      <w:r w:rsidR="00073318">
        <w:rPr>
          <w:rFonts w:asciiTheme="minorHAnsi" w:hAnsiTheme="minorHAnsi" w:cstheme="minorHAnsi"/>
        </w:rPr>
        <w:t>plaintiff’s original suit and injunction were</w:t>
      </w:r>
      <w:r w:rsidRPr="00DA5613">
        <w:rPr>
          <w:rFonts w:asciiTheme="minorHAnsi" w:hAnsiTheme="minorHAnsi" w:cstheme="minorHAnsi"/>
        </w:rPr>
        <w:t xml:space="preserve"> barred by sovereign immunity.  </w:t>
      </w:r>
      <w:r w:rsidRPr="00DA5613">
        <w:rPr>
          <w:rFonts w:asciiTheme="minorHAnsi" w:hAnsiTheme="minorHAnsi" w:cstheme="minorHAnsi"/>
          <w:i/>
          <w:iCs/>
        </w:rPr>
        <w:t>Id.</w:t>
      </w:r>
      <w:r w:rsidRPr="00DA5613">
        <w:rPr>
          <w:rFonts w:asciiTheme="minorHAnsi" w:hAnsiTheme="minorHAnsi" w:cstheme="minorHAnsi"/>
        </w:rPr>
        <w:t xml:space="preserve"> at </w:t>
      </w:r>
      <w:r w:rsidR="00B70B66" w:rsidRPr="00AA7DF9">
        <w:rPr>
          <w:rFonts w:asciiTheme="minorHAnsi" w:hAnsiTheme="minorHAnsi" w:cstheme="minorHAnsi"/>
        </w:rPr>
        <w:t>141</w:t>
      </w:r>
      <w:r w:rsidRPr="00AA7DF9">
        <w:rPr>
          <w:rFonts w:asciiTheme="minorHAnsi" w:hAnsiTheme="minorHAnsi" w:cstheme="minorHAnsi"/>
        </w:rPr>
        <w:t>.</w:t>
      </w:r>
      <w:r w:rsidR="00073318">
        <w:rPr>
          <w:rFonts w:asciiTheme="minorHAnsi" w:hAnsiTheme="minorHAnsi" w:cstheme="minorHAnsi"/>
        </w:rPr>
        <w:t xml:space="preserve">  </w:t>
      </w:r>
    </w:p>
    <w:p w14:paraId="6DA5215B" w14:textId="5A463878" w:rsidR="004130C6" w:rsidRPr="00DA5613" w:rsidRDefault="00073318" w:rsidP="00E72FB5">
      <w:pPr>
        <w:pStyle w:val="NoSpacing"/>
        <w:spacing w:line="480" w:lineRule="auto"/>
        <w:ind w:firstLine="720"/>
        <w:rPr>
          <w:rFonts w:asciiTheme="minorHAnsi" w:hAnsiTheme="minorHAnsi" w:cstheme="minorHAnsi"/>
        </w:rPr>
      </w:pPr>
      <w:r>
        <w:rPr>
          <w:rFonts w:asciiTheme="minorHAnsi" w:hAnsiTheme="minorHAnsi" w:cstheme="minorHAnsi"/>
        </w:rPr>
        <w:t>The Supreme Court disagreed, rejecting the sovereign immunity defense</w:t>
      </w:r>
      <w:r w:rsidR="00811936">
        <w:rPr>
          <w:rFonts w:asciiTheme="minorHAnsi" w:hAnsiTheme="minorHAnsi" w:cstheme="minorHAnsi"/>
        </w:rPr>
        <w:t xml:space="preserve"> on the ground that sovereign immunity is not available to a state official taking action that violates federal law.  </w:t>
      </w:r>
      <w:r w:rsidR="004130C6" w:rsidRPr="00DA5613">
        <w:rPr>
          <w:rFonts w:asciiTheme="minorHAnsi" w:hAnsiTheme="minorHAnsi" w:cstheme="minorHAnsi"/>
        </w:rPr>
        <w:t xml:space="preserve">The connection between </w:t>
      </w:r>
      <w:r>
        <w:rPr>
          <w:rFonts w:asciiTheme="minorHAnsi" w:hAnsiTheme="minorHAnsi" w:cstheme="minorHAnsi"/>
        </w:rPr>
        <w:t xml:space="preserve">the </w:t>
      </w:r>
      <w:r w:rsidR="00200849">
        <w:rPr>
          <w:rFonts w:asciiTheme="minorHAnsi" w:hAnsiTheme="minorHAnsi" w:cstheme="minorHAnsi"/>
        </w:rPr>
        <w:t xml:space="preserve">official </w:t>
      </w:r>
      <w:r w:rsidR="004130C6" w:rsidRPr="00DA5613">
        <w:rPr>
          <w:rFonts w:asciiTheme="minorHAnsi" w:hAnsiTheme="minorHAnsi" w:cstheme="minorHAnsi"/>
        </w:rPr>
        <w:t xml:space="preserve">and the challenged </w:t>
      </w:r>
      <w:r>
        <w:rPr>
          <w:rFonts w:asciiTheme="minorHAnsi" w:hAnsiTheme="minorHAnsi" w:cstheme="minorHAnsi"/>
        </w:rPr>
        <w:t>state law</w:t>
      </w:r>
      <w:r w:rsidR="004130C6" w:rsidRPr="00DA5613">
        <w:rPr>
          <w:rFonts w:asciiTheme="minorHAnsi" w:hAnsiTheme="minorHAnsi" w:cstheme="minorHAnsi"/>
        </w:rPr>
        <w:t xml:space="preserve"> was </w:t>
      </w:r>
      <w:r w:rsidR="005577D2">
        <w:rPr>
          <w:rFonts w:asciiTheme="minorHAnsi" w:hAnsiTheme="minorHAnsi" w:cstheme="minorHAnsi"/>
        </w:rPr>
        <w:t>essential</w:t>
      </w:r>
      <w:r w:rsidR="004130C6" w:rsidRPr="00DA5613">
        <w:rPr>
          <w:rFonts w:asciiTheme="minorHAnsi" w:hAnsiTheme="minorHAnsi" w:cstheme="minorHAnsi"/>
        </w:rPr>
        <w:t xml:space="preserve"> to the Supreme Court’s </w:t>
      </w:r>
      <w:r>
        <w:rPr>
          <w:rFonts w:asciiTheme="minorHAnsi" w:hAnsiTheme="minorHAnsi" w:cstheme="minorHAnsi"/>
        </w:rPr>
        <w:t>ruling</w:t>
      </w:r>
      <w:r w:rsidR="004130C6" w:rsidRPr="00DA5613">
        <w:rPr>
          <w:rFonts w:asciiTheme="minorHAnsi" w:hAnsiTheme="minorHAnsi" w:cstheme="minorHAnsi"/>
        </w:rPr>
        <w:t xml:space="preserve">.  </w:t>
      </w:r>
      <w:r>
        <w:rPr>
          <w:rFonts w:asciiTheme="minorHAnsi" w:hAnsiTheme="minorHAnsi" w:cstheme="minorHAnsi"/>
        </w:rPr>
        <w:t xml:space="preserve">According to the Court, </w:t>
      </w:r>
      <w:r w:rsidR="004130C6" w:rsidRPr="00DA5613">
        <w:rPr>
          <w:rFonts w:asciiTheme="minorHAnsi" w:hAnsiTheme="minorHAnsi" w:cstheme="minorHAnsi"/>
        </w:rPr>
        <w:t>its prior authorities supported the</w:t>
      </w:r>
      <w:r>
        <w:rPr>
          <w:rFonts w:asciiTheme="minorHAnsi" w:hAnsiTheme="minorHAnsi" w:cstheme="minorHAnsi"/>
        </w:rPr>
        <w:t xml:space="preserve"> conclusion that</w:t>
      </w:r>
    </w:p>
    <w:p w14:paraId="72FD898E" w14:textId="3C13D4C3" w:rsidR="004130C6" w:rsidRPr="00DA5613" w:rsidRDefault="004130C6" w:rsidP="00EA1D04">
      <w:pPr>
        <w:pStyle w:val="NoSpacing"/>
        <w:ind w:left="720" w:right="720"/>
        <w:rPr>
          <w:rFonts w:asciiTheme="minorHAnsi" w:hAnsiTheme="minorHAnsi" w:cstheme="minorHAnsi"/>
        </w:rPr>
      </w:pPr>
      <w:r w:rsidRPr="00DA5613">
        <w:rPr>
          <w:rFonts w:asciiTheme="minorHAnsi" w:hAnsiTheme="minorHAnsi" w:cstheme="minorHAnsi"/>
        </w:rPr>
        <w:t xml:space="preserve">individuals, who, as officers of the State, are clothed with some duty in regard to the enforcement of the laws of the State, and who threaten and are about to commence proceedings, either of a civil or criminal nature, to enforce against parties affected an unconstitutional act, violating the Federal Constitution, may be enjoined by a Federal court of equity from such action.  </w:t>
      </w:r>
    </w:p>
    <w:p w14:paraId="03930334" w14:textId="77777777" w:rsidR="004130C6" w:rsidRPr="00DA5613" w:rsidRDefault="004130C6" w:rsidP="00545E56">
      <w:pPr>
        <w:pStyle w:val="NoSpacing"/>
        <w:ind w:left="720" w:right="720"/>
        <w:rPr>
          <w:rFonts w:asciiTheme="minorHAnsi" w:hAnsiTheme="minorHAnsi" w:cstheme="minorHAnsi"/>
        </w:rPr>
      </w:pPr>
    </w:p>
    <w:p w14:paraId="39EE83AF" w14:textId="4335DF23" w:rsidR="004130C6" w:rsidRPr="00DA5613" w:rsidRDefault="004130C6" w:rsidP="00E72FB5">
      <w:pPr>
        <w:pStyle w:val="NoSpacing"/>
        <w:spacing w:line="480" w:lineRule="auto"/>
        <w:rPr>
          <w:rFonts w:asciiTheme="minorHAnsi" w:hAnsiTheme="minorHAnsi" w:cstheme="minorHAnsi"/>
          <w:iCs/>
        </w:rPr>
      </w:pPr>
      <w:r w:rsidRPr="00DA5613">
        <w:rPr>
          <w:rFonts w:asciiTheme="minorHAnsi" w:hAnsiTheme="minorHAnsi" w:cstheme="minorHAnsi"/>
          <w:i/>
          <w:iCs/>
        </w:rPr>
        <w:t>Id.</w:t>
      </w:r>
      <w:r w:rsidRPr="00DA5613">
        <w:rPr>
          <w:rFonts w:asciiTheme="minorHAnsi" w:hAnsiTheme="minorHAnsi" w:cstheme="minorHAnsi"/>
        </w:rPr>
        <w:t xml:space="preserve"> at 155–56.  </w:t>
      </w:r>
      <w:r w:rsidR="00E72FB5">
        <w:rPr>
          <w:rFonts w:asciiTheme="minorHAnsi" w:hAnsiTheme="minorHAnsi" w:cstheme="minorHAnsi"/>
        </w:rPr>
        <w:t xml:space="preserve">For purposes of injunctive relief, the Court held that the state </w:t>
      </w:r>
      <w:r w:rsidRPr="00DA5613">
        <w:rPr>
          <w:rFonts w:asciiTheme="minorHAnsi" w:hAnsiTheme="minorHAnsi" w:cstheme="minorHAnsi"/>
        </w:rPr>
        <w:t xml:space="preserve">officer </w:t>
      </w:r>
      <w:r w:rsidR="00E72FB5">
        <w:rPr>
          <w:rFonts w:asciiTheme="minorHAnsi" w:hAnsiTheme="minorHAnsi" w:cstheme="minorHAnsi"/>
        </w:rPr>
        <w:t>“</w:t>
      </w:r>
      <w:r w:rsidRPr="00DA5613">
        <w:rPr>
          <w:rFonts w:asciiTheme="minorHAnsi" w:hAnsiTheme="minorHAnsi" w:cstheme="minorHAnsi"/>
        </w:rPr>
        <w:t xml:space="preserve">must have </w:t>
      </w:r>
      <w:r w:rsidRPr="00DA5613">
        <w:rPr>
          <w:rFonts w:asciiTheme="minorHAnsi" w:hAnsiTheme="minorHAnsi" w:cstheme="minorHAnsi"/>
          <w:i/>
          <w:iCs/>
        </w:rPr>
        <w:t>some connection</w:t>
      </w:r>
      <w:r w:rsidRPr="00DA5613">
        <w:rPr>
          <w:rFonts w:asciiTheme="minorHAnsi" w:hAnsiTheme="minorHAnsi" w:cstheme="minorHAnsi"/>
        </w:rPr>
        <w:t xml:space="preserve"> with the enforcement of the act.”  </w:t>
      </w:r>
      <w:r w:rsidRPr="00DA5613">
        <w:rPr>
          <w:rFonts w:asciiTheme="minorHAnsi" w:hAnsiTheme="minorHAnsi" w:cstheme="minorHAnsi"/>
          <w:i/>
        </w:rPr>
        <w:t>Id.</w:t>
      </w:r>
      <w:r w:rsidRPr="00DA5613">
        <w:rPr>
          <w:rFonts w:asciiTheme="minorHAnsi" w:hAnsiTheme="minorHAnsi" w:cstheme="minorHAnsi"/>
          <w:iCs/>
        </w:rPr>
        <w:t xml:space="preserve"> at 157 (emphasis added)</w:t>
      </w:r>
      <w:r w:rsidR="00781C9D">
        <w:rPr>
          <w:rFonts w:asciiTheme="minorHAnsi" w:hAnsiTheme="minorHAnsi" w:cstheme="minorHAnsi"/>
          <w:iCs/>
        </w:rPr>
        <w:t>.</w:t>
      </w:r>
      <w:r w:rsidRPr="00DA5613">
        <w:rPr>
          <w:rFonts w:asciiTheme="minorHAnsi" w:hAnsiTheme="minorHAnsi" w:cstheme="minorHAnsi"/>
          <w:iCs/>
        </w:rPr>
        <w:t xml:space="preserve"> </w:t>
      </w:r>
      <w:r w:rsidR="00F94173">
        <w:rPr>
          <w:rFonts w:asciiTheme="minorHAnsi" w:hAnsiTheme="minorHAnsi" w:cstheme="minorHAnsi"/>
          <w:iCs/>
        </w:rPr>
        <w:t xml:space="preserve"> </w:t>
      </w:r>
      <w:r w:rsidR="00E72FB5">
        <w:rPr>
          <w:rFonts w:asciiTheme="minorHAnsi" w:hAnsiTheme="minorHAnsi" w:cstheme="minorHAnsi"/>
          <w:iCs/>
        </w:rPr>
        <w:t>In Attorney General Young’s case, t</w:t>
      </w:r>
      <w:r w:rsidR="00F94173">
        <w:rPr>
          <w:rFonts w:asciiTheme="minorHAnsi" w:hAnsiTheme="minorHAnsi" w:cstheme="minorHAnsi"/>
          <w:iCs/>
        </w:rPr>
        <w:t xml:space="preserve">he Court found it sufficient that </w:t>
      </w:r>
      <w:r w:rsidR="00E72FB5">
        <w:rPr>
          <w:rFonts w:asciiTheme="minorHAnsi" w:hAnsiTheme="minorHAnsi" w:cstheme="minorHAnsi"/>
          <w:iCs/>
        </w:rPr>
        <w:t>he</w:t>
      </w:r>
      <w:r w:rsidR="00F94173">
        <w:rPr>
          <w:rFonts w:asciiTheme="minorHAnsi" w:hAnsiTheme="minorHAnsi" w:cstheme="minorHAnsi"/>
          <w:iCs/>
        </w:rPr>
        <w:t xml:space="preserve"> had general enforcement authority under Minnesota law and was actively engaged in </w:t>
      </w:r>
      <w:r w:rsidR="005577D2">
        <w:rPr>
          <w:rFonts w:asciiTheme="minorHAnsi" w:hAnsiTheme="minorHAnsi" w:cstheme="minorHAnsi"/>
          <w:iCs/>
        </w:rPr>
        <w:t>enforcing the challenged law</w:t>
      </w:r>
      <w:r w:rsidR="00F94173">
        <w:rPr>
          <w:rFonts w:asciiTheme="minorHAnsi" w:hAnsiTheme="minorHAnsi" w:cstheme="minorHAnsi"/>
          <w:iCs/>
        </w:rPr>
        <w:t xml:space="preserve">.  </w:t>
      </w:r>
      <w:r w:rsidR="005577D2">
        <w:rPr>
          <w:rFonts w:asciiTheme="minorHAnsi" w:hAnsiTheme="minorHAnsi" w:cstheme="minorHAnsi"/>
          <w:iCs/>
        </w:rPr>
        <w:t>As t</w:t>
      </w:r>
      <w:r w:rsidR="00F94173">
        <w:rPr>
          <w:rFonts w:asciiTheme="minorHAnsi" w:hAnsiTheme="minorHAnsi" w:cstheme="minorHAnsi"/>
          <w:iCs/>
        </w:rPr>
        <w:t xml:space="preserve">he Court explained:    </w:t>
      </w:r>
    </w:p>
    <w:p w14:paraId="0E3EA758" w14:textId="573E26D3" w:rsidR="004130C6" w:rsidRPr="00DA5613" w:rsidRDefault="004130C6" w:rsidP="00EA1D04">
      <w:pPr>
        <w:pStyle w:val="NoSpacing"/>
        <w:spacing w:after="240"/>
        <w:ind w:left="720" w:right="720"/>
        <w:contextualSpacing w:val="0"/>
        <w:rPr>
          <w:rFonts w:asciiTheme="minorHAnsi" w:hAnsiTheme="minorHAnsi" w:cstheme="minorHAnsi"/>
          <w:iCs/>
        </w:rPr>
      </w:pPr>
      <w:r w:rsidRPr="00DA5613">
        <w:rPr>
          <w:rFonts w:asciiTheme="minorHAnsi" w:hAnsiTheme="minorHAnsi" w:cstheme="minorHAnsi"/>
          <w:iCs/>
        </w:rPr>
        <w:t>By his official conduct it seems that he regarded it as a duty connected with his office to compel the company to obey the commodity act, for he commenced proceedings to enforce such obedience immediately after the injunction issued, at the risk of being found guilty of contempt by so doing</w:t>
      </w:r>
      <w:r w:rsidR="005577D2">
        <w:rPr>
          <w:rFonts w:asciiTheme="minorHAnsi" w:hAnsiTheme="minorHAnsi" w:cstheme="minorHAnsi"/>
          <w:iCs/>
        </w:rPr>
        <w:t>.</w:t>
      </w:r>
    </w:p>
    <w:p w14:paraId="61B50009" w14:textId="09CFC00C" w:rsidR="004130C6" w:rsidRDefault="005577D2" w:rsidP="00545E56">
      <w:pPr>
        <w:pStyle w:val="NoSpacing"/>
        <w:spacing w:line="480" w:lineRule="auto"/>
        <w:contextualSpacing w:val="0"/>
        <w:rPr>
          <w:rFonts w:asciiTheme="minorHAnsi" w:hAnsiTheme="minorHAnsi" w:cstheme="minorHAnsi"/>
          <w:iCs/>
        </w:rPr>
      </w:pPr>
      <w:r w:rsidRPr="005577D2">
        <w:rPr>
          <w:rFonts w:asciiTheme="minorHAnsi" w:hAnsiTheme="minorHAnsi" w:cstheme="minorHAnsi"/>
          <w:i/>
        </w:rPr>
        <w:t>Id</w:t>
      </w:r>
      <w:r>
        <w:rPr>
          <w:rFonts w:asciiTheme="minorHAnsi" w:hAnsiTheme="minorHAnsi" w:cstheme="minorHAnsi"/>
          <w:iCs/>
        </w:rPr>
        <w:t>. at 160.   The attorney general invoked this authority u</w:t>
      </w:r>
      <w:r w:rsidR="004130C6" w:rsidRPr="00DA5613">
        <w:rPr>
          <w:rFonts w:asciiTheme="minorHAnsi" w:hAnsiTheme="minorHAnsi" w:cstheme="minorHAnsi"/>
          <w:iCs/>
        </w:rPr>
        <w:t>nder Minnesota caselaw</w:t>
      </w:r>
      <w:r>
        <w:rPr>
          <w:rFonts w:asciiTheme="minorHAnsi" w:hAnsiTheme="minorHAnsi" w:cstheme="minorHAnsi"/>
          <w:iCs/>
        </w:rPr>
        <w:t xml:space="preserve"> and statutes, which provided that </w:t>
      </w:r>
      <w:r w:rsidR="004130C6" w:rsidRPr="00DA5613">
        <w:rPr>
          <w:rFonts w:asciiTheme="minorHAnsi" w:hAnsiTheme="minorHAnsi" w:cstheme="minorHAnsi"/>
          <w:iCs/>
        </w:rPr>
        <w:t>the “Attorney General might institute, conduct and maintain all suits and proceedings he might deem necessary for the enforcement of the laws of the State, the preservation of order and the protection of public rights, and that there were no statutory restrictions in that State limiting the duties of the Attorney General in such case</w:t>
      </w:r>
      <w:r>
        <w:rPr>
          <w:rFonts w:asciiTheme="minorHAnsi" w:hAnsiTheme="minorHAnsi" w:cstheme="minorHAnsi"/>
          <w:iCs/>
        </w:rPr>
        <w:t>.</w:t>
      </w:r>
      <w:r w:rsidR="004130C6" w:rsidRPr="00DA5613">
        <w:rPr>
          <w:rFonts w:asciiTheme="minorHAnsi" w:hAnsiTheme="minorHAnsi" w:cstheme="minorHAnsi"/>
          <w:iCs/>
        </w:rPr>
        <w:t xml:space="preserve">” </w:t>
      </w:r>
      <w:r>
        <w:rPr>
          <w:rFonts w:asciiTheme="minorHAnsi" w:hAnsiTheme="minorHAnsi" w:cstheme="minorHAnsi"/>
          <w:iCs/>
        </w:rPr>
        <w:t xml:space="preserve"> </w:t>
      </w:r>
      <w:r>
        <w:rPr>
          <w:rFonts w:asciiTheme="minorHAnsi" w:hAnsiTheme="minorHAnsi" w:cstheme="minorHAnsi"/>
          <w:i/>
        </w:rPr>
        <w:t>I</w:t>
      </w:r>
      <w:r w:rsidR="004130C6" w:rsidRPr="00DA5613">
        <w:rPr>
          <w:rFonts w:asciiTheme="minorHAnsi" w:hAnsiTheme="minorHAnsi" w:cstheme="minorHAnsi"/>
          <w:i/>
        </w:rPr>
        <w:t>d.</w:t>
      </w:r>
      <w:r>
        <w:rPr>
          <w:rFonts w:asciiTheme="minorHAnsi" w:hAnsiTheme="minorHAnsi" w:cstheme="minorHAnsi"/>
          <w:iCs/>
        </w:rPr>
        <w:t xml:space="preserve"> at 160–161.  </w:t>
      </w:r>
      <w:r w:rsidR="004130C6" w:rsidRPr="00DA5613">
        <w:rPr>
          <w:rFonts w:asciiTheme="minorHAnsi" w:hAnsiTheme="minorHAnsi" w:cstheme="minorHAnsi"/>
          <w:iCs/>
        </w:rPr>
        <w:t xml:space="preserve">The Court concluded that </w:t>
      </w:r>
      <w:r>
        <w:rPr>
          <w:rFonts w:asciiTheme="minorHAnsi" w:hAnsiTheme="minorHAnsi" w:cstheme="minorHAnsi"/>
          <w:iCs/>
        </w:rPr>
        <w:t xml:space="preserve">the attorney general’s common-law and general statutory duties “by virtue of his office sufficiently connected </w:t>
      </w:r>
      <w:r w:rsidR="004130C6" w:rsidRPr="00DA5613">
        <w:rPr>
          <w:rFonts w:asciiTheme="minorHAnsi" w:hAnsiTheme="minorHAnsi" w:cstheme="minorHAnsi"/>
          <w:iCs/>
        </w:rPr>
        <w:t>him with the duty of enforcement to make him a proper party to a suit of the nature of the one now before the United States Circuit Court.</w:t>
      </w:r>
      <w:r>
        <w:rPr>
          <w:rFonts w:asciiTheme="minorHAnsi" w:hAnsiTheme="minorHAnsi" w:cstheme="minorHAnsi"/>
          <w:iCs/>
        </w:rPr>
        <w:t xml:space="preserve">”  </w:t>
      </w:r>
      <w:r w:rsidR="004130C6" w:rsidRPr="00DA5613">
        <w:rPr>
          <w:rFonts w:asciiTheme="minorHAnsi" w:hAnsiTheme="minorHAnsi" w:cstheme="minorHAnsi"/>
          <w:i/>
        </w:rPr>
        <w:t>Id.</w:t>
      </w:r>
      <w:r w:rsidR="004130C6" w:rsidRPr="00DA5613">
        <w:rPr>
          <w:rFonts w:asciiTheme="minorHAnsi" w:hAnsiTheme="minorHAnsi" w:cstheme="minorHAnsi"/>
          <w:iCs/>
        </w:rPr>
        <w:t xml:space="preserve"> </w:t>
      </w:r>
    </w:p>
    <w:p w14:paraId="1BA23AB9" w14:textId="77777777" w:rsidR="00EA1D04" w:rsidRDefault="005577D2" w:rsidP="00EA1D04">
      <w:pPr>
        <w:pStyle w:val="NoSpacing"/>
        <w:spacing w:line="480" w:lineRule="auto"/>
        <w:contextualSpacing w:val="0"/>
        <w:rPr>
          <w:rFonts w:asciiTheme="minorHAnsi" w:hAnsiTheme="minorHAnsi" w:cstheme="minorHAnsi"/>
          <w:iCs/>
        </w:rPr>
      </w:pPr>
      <w:r>
        <w:rPr>
          <w:rFonts w:asciiTheme="minorHAnsi" w:hAnsiTheme="minorHAnsi" w:cstheme="minorHAnsi"/>
          <w:iCs/>
        </w:rPr>
        <w:tab/>
      </w:r>
      <w:r w:rsidR="00E72FB5">
        <w:rPr>
          <w:rFonts w:asciiTheme="minorHAnsi" w:hAnsiTheme="minorHAnsi" w:cstheme="minorHAnsi"/>
          <w:iCs/>
        </w:rPr>
        <w:t xml:space="preserve">In reaching this conclusion, the Court did </w:t>
      </w:r>
      <w:r w:rsidR="00E72FB5" w:rsidRPr="00E72FB5">
        <w:rPr>
          <w:rFonts w:asciiTheme="minorHAnsi" w:hAnsiTheme="minorHAnsi" w:cstheme="minorHAnsi"/>
          <w:b/>
          <w:bCs/>
          <w:i/>
        </w:rPr>
        <w:t>not</w:t>
      </w:r>
      <w:r w:rsidR="00E72FB5">
        <w:rPr>
          <w:rFonts w:asciiTheme="minorHAnsi" w:hAnsiTheme="minorHAnsi" w:cstheme="minorHAnsi"/>
          <w:iCs/>
        </w:rPr>
        <w:t xml:space="preserve"> find it “</w:t>
      </w:r>
      <w:r w:rsidR="004130C6" w:rsidRPr="00DA5613">
        <w:rPr>
          <w:rFonts w:asciiTheme="minorHAnsi" w:hAnsiTheme="minorHAnsi" w:cstheme="minorHAnsi"/>
          <w:iCs/>
        </w:rPr>
        <w:t>necessary that such duty should be declared in the same act which is to be enforced.</w:t>
      </w:r>
      <w:r w:rsidR="00E72FB5">
        <w:rPr>
          <w:rFonts w:asciiTheme="minorHAnsi" w:hAnsiTheme="minorHAnsi" w:cstheme="minorHAnsi"/>
          <w:iCs/>
        </w:rPr>
        <w:t xml:space="preserve">”  </w:t>
      </w:r>
      <w:r w:rsidR="00E72FB5" w:rsidRPr="00811936">
        <w:rPr>
          <w:rFonts w:asciiTheme="minorHAnsi" w:hAnsiTheme="minorHAnsi" w:cstheme="minorHAnsi"/>
          <w:i/>
        </w:rPr>
        <w:t>Id</w:t>
      </w:r>
      <w:r w:rsidR="00E72FB5">
        <w:rPr>
          <w:rFonts w:asciiTheme="minorHAnsi" w:hAnsiTheme="minorHAnsi" w:cstheme="minorHAnsi"/>
          <w:iCs/>
        </w:rPr>
        <w:t>. at 157.  Although such an explicit delegation of authority “</w:t>
      </w:r>
      <w:r w:rsidR="004130C6" w:rsidRPr="00DA5613">
        <w:rPr>
          <w:rFonts w:asciiTheme="minorHAnsi" w:hAnsiTheme="minorHAnsi" w:cstheme="minorHAnsi"/>
          <w:iCs/>
        </w:rPr>
        <w:t>may possibly make the duty more clear</w:t>
      </w:r>
      <w:r w:rsidR="00E72FB5">
        <w:rPr>
          <w:rFonts w:asciiTheme="minorHAnsi" w:hAnsiTheme="minorHAnsi" w:cstheme="minorHAnsi"/>
          <w:iCs/>
        </w:rPr>
        <w:t>,” a duty that derives from a different source would be “</w:t>
      </w:r>
      <w:r w:rsidR="004130C6" w:rsidRPr="00DA5613">
        <w:rPr>
          <w:rFonts w:asciiTheme="minorHAnsi" w:hAnsiTheme="minorHAnsi" w:cstheme="minorHAnsi"/>
          <w:iCs/>
        </w:rPr>
        <w:t>equally efficacious.</w:t>
      </w:r>
      <w:r w:rsidR="00E72FB5">
        <w:rPr>
          <w:rFonts w:asciiTheme="minorHAnsi" w:hAnsiTheme="minorHAnsi" w:cstheme="minorHAnsi"/>
          <w:iCs/>
        </w:rPr>
        <w:t xml:space="preserve">”  </w:t>
      </w:r>
      <w:r w:rsidR="00E72FB5" w:rsidRPr="00E72FB5">
        <w:rPr>
          <w:rFonts w:asciiTheme="minorHAnsi" w:hAnsiTheme="minorHAnsi" w:cstheme="minorHAnsi"/>
          <w:i/>
        </w:rPr>
        <w:t>Id</w:t>
      </w:r>
      <w:r w:rsidR="00E72FB5">
        <w:rPr>
          <w:rFonts w:asciiTheme="minorHAnsi" w:hAnsiTheme="minorHAnsi" w:cstheme="minorHAnsi"/>
          <w:iCs/>
        </w:rPr>
        <w:t xml:space="preserve">.  </w:t>
      </w:r>
      <w:r w:rsidR="00EA1D04">
        <w:rPr>
          <w:rFonts w:asciiTheme="minorHAnsi" w:hAnsiTheme="minorHAnsi" w:cstheme="minorHAnsi"/>
          <w:iCs/>
        </w:rPr>
        <w:t xml:space="preserve"> The Court continued:  </w:t>
      </w:r>
    </w:p>
    <w:p w14:paraId="77CF33C8" w14:textId="37037B69" w:rsidR="004130C6" w:rsidRPr="00DA5613" w:rsidRDefault="004130C6" w:rsidP="00EA1D04">
      <w:pPr>
        <w:pStyle w:val="NoSpacing"/>
        <w:spacing w:after="240"/>
        <w:ind w:left="720" w:right="720"/>
        <w:contextualSpacing w:val="0"/>
        <w:rPr>
          <w:rFonts w:asciiTheme="minorHAnsi" w:hAnsiTheme="minorHAnsi" w:cstheme="minorHAnsi"/>
          <w:iCs/>
        </w:rPr>
      </w:pPr>
      <w:r w:rsidRPr="00DA5613">
        <w:rPr>
          <w:rFonts w:asciiTheme="minorHAnsi" w:hAnsiTheme="minorHAnsi" w:cstheme="minorHAnsi"/>
          <w:iCs/>
        </w:rPr>
        <w:t>The fact that the state officer by virtue of his office has some connection with the enforcement of the act is the important and material fact, and whether it arises out of the general law, or is specially created by the act itself, is not material so long as it exists.</w:t>
      </w:r>
    </w:p>
    <w:p w14:paraId="6E9D12F2" w14:textId="28A8A7B2" w:rsidR="004130C6" w:rsidRPr="00DA5613" w:rsidRDefault="004130C6" w:rsidP="00545E56">
      <w:pPr>
        <w:pStyle w:val="NoSpacing"/>
        <w:spacing w:line="480" w:lineRule="auto"/>
        <w:rPr>
          <w:rFonts w:asciiTheme="minorHAnsi" w:hAnsiTheme="minorHAnsi" w:cstheme="minorHAnsi"/>
          <w:iCs/>
        </w:rPr>
      </w:pPr>
      <w:r w:rsidRPr="00DA5613">
        <w:rPr>
          <w:rFonts w:asciiTheme="minorHAnsi" w:hAnsiTheme="minorHAnsi" w:cstheme="minorHAnsi"/>
          <w:i/>
        </w:rPr>
        <w:t>Id.</w:t>
      </w:r>
      <w:r w:rsidRPr="00DA5613">
        <w:rPr>
          <w:rFonts w:asciiTheme="minorHAnsi" w:hAnsiTheme="minorHAnsi" w:cstheme="minorHAnsi"/>
          <w:iCs/>
        </w:rPr>
        <w:t xml:space="preserve">  Thus, the only enforcement duty </w:t>
      </w:r>
      <w:r w:rsidRPr="00DA5613">
        <w:rPr>
          <w:rFonts w:asciiTheme="minorHAnsi" w:hAnsiTheme="minorHAnsi" w:cstheme="minorHAnsi"/>
          <w:i/>
        </w:rPr>
        <w:t xml:space="preserve">Ex parte Young </w:t>
      </w:r>
      <w:r w:rsidRPr="00DA5613">
        <w:rPr>
          <w:rFonts w:asciiTheme="minorHAnsi" w:hAnsiTheme="minorHAnsi" w:cstheme="minorHAnsi"/>
          <w:iCs/>
        </w:rPr>
        <w:t xml:space="preserve">requires is </w:t>
      </w:r>
      <w:r w:rsidRPr="00DA5613">
        <w:rPr>
          <w:rFonts w:asciiTheme="minorHAnsi" w:hAnsiTheme="minorHAnsi" w:cstheme="minorHAnsi"/>
          <w:i/>
        </w:rPr>
        <w:t>some</w:t>
      </w:r>
      <w:r w:rsidRPr="00DA5613">
        <w:rPr>
          <w:rFonts w:asciiTheme="minorHAnsi" w:hAnsiTheme="minorHAnsi" w:cstheme="minorHAnsi"/>
          <w:iCs/>
        </w:rPr>
        <w:t xml:space="preserve"> duty under state law to enforce the challenged case law—not a specific duty arising from the challenged law</w:t>
      </w:r>
      <w:r w:rsidR="00EA1D04">
        <w:rPr>
          <w:rFonts w:asciiTheme="minorHAnsi" w:hAnsiTheme="minorHAnsi" w:cstheme="minorHAnsi"/>
          <w:iCs/>
        </w:rPr>
        <w:t xml:space="preserve"> itself</w:t>
      </w:r>
      <w:r w:rsidRPr="00DA5613">
        <w:rPr>
          <w:rFonts w:asciiTheme="minorHAnsi" w:hAnsiTheme="minorHAnsi" w:cstheme="minorHAnsi"/>
          <w:iCs/>
        </w:rPr>
        <w:t>.</w:t>
      </w:r>
    </w:p>
    <w:p w14:paraId="2DB52B92" w14:textId="77777777" w:rsidR="00EA1D04" w:rsidRDefault="004130C6" w:rsidP="00545E56">
      <w:pPr>
        <w:pStyle w:val="NoSpacing"/>
        <w:spacing w:line="480" w:lineRule="auto"/>
        <w:rPr>
          <w:rFonts w:asciiTheme="minorHAnsi" w:hAnsiTheme="minorHAnsi" w:cstheme="minorHAnsi"/>
          <w:iCs/>
        </w:rPr>
      </w:pPr>
      <w:r w:rsidRPr="00DA5613">
        <w:rPr>
          <w:rFonts w:asciiTheme="minorHAnsi" w:hAnsiTheme="minorHAnsi" w:cstheme="minorHAnsi"/>
          <w:iCs/>
        </w:rPr>
        <w:tab/>
      </w:r>
      <w:r w:rsidR="00EA1D04">
        <w:rPr>
          <w:rFonts w:asciiTheme="minorHAnsi" w:hAnsiTheme="minorHAnsi" w:cstheme="minorHAnsi"/>
          <w:iCs/>
        </w:rPr>
        <w:t xml:space="preserve">The claims here easily meet that test.  Both </w:t>
      </w:r>
      <w:r w:rsidRPr="00DA5613">
        <w:rPr>
          <w:rFonts w:asciiTheme="minorHAnsi" w:hAnsiTheme="minorHAnsi" w:cstheme="minorHAnsi"/>
          <w:iCs/>
        </w:rPr>
        <w:t>Attorney General Paxton and Commissioner Morath</w:t>
      </w:r>
      <w:r w:rsidR="00EA1D04">
        <w:rPr>
          <w:rFonts w:asciiTheme="minorHAnsi" w:hAnsiTheme="minorHAnsi" w:cstheme="minorHAnsi"/>
          <w:iCs/>
        </w:rPr>
        <w:t xml:space="preserve"> have </w:t>
      </w:r>
      <w:r w:rsidRPr="00EA1D04">
        <w:rPr>
          <w:rFonts w:asciiTheme="minorHAnsi" w:hAnsiTheme="minorHAnsi" w:cstheme="minorHAnsi"/>
          <w:b/>
          <w:bCs/>
          <w:i/>
        </w:rPr>
        <w:t>some</w:t>
      </w:r>
      <w:r w:rsidRPr="00DA5613">
        <w:rPr>
          <w:rFonts w:asciiTheme="minorHAnsi" w:hAnsiTheme="minorHAnsi" w:cstheme="minorHAnsi"/>
          <w:iCs/>
        </w:rPr>
        <w:t xml:space="preserve"> authority to enforce GA-38’s mask provisions, and they are threatening to enforce and actually enforcing GA-38’s mask provisions against school districts.</w:t>
      </w:r>
      <w:r w:rsidR="00EA1D04">
        <w:rPr>
          <w:rFonts w:asciiTheme="minorHAnsi" w:hAnsiTheme="minorHAnsi" w:cstheme="minorHAnsi"/>
          <w:iCs/>
        </w:rPr>
        <w:t xml:space="preserve">  </w:t>
      </w:r>
      <w:r w:rsidR="00FD6982" w:rsidRPr="00DA5613">
        <w:rPr>
          <w:rFonts w:asciiTheme="minorHAnsi" w:hAnsiTheme="minorHAnsi" w:cstheme="minorHAnsi"/>
          <w:iCs/>
        </w:rPr>
        <w:t xml:space="preserve">As set forth above, the </w:t>
      </w:r>
      <w:r w:rsidRPr="00DA5613">
        <w:rPr>
          <w:rFonts w:asciiTheme="minorHAnsi" w:hAnsiTheme="minorHAnsi" w:cstheme="minorHAnsi"/>
          <w:iCs/>
        </w:rPr>
        <w:t xml:space="preserve">record contains ample evidence of </w:t>
      </w:r>
      <w:r w:rsidR="00EA1D04">
        <w:rPr>
          <w:rFonts w:asciiTheme="minorHAnsi" w:hAnsiTheme="minorHAnsi" w:cstheme="minorHAnsi"/>
          <w:iCs/>
        </w:rPr>
        <w:t xml:space="preserve">their </w:t>
      </w:r>
      <w:r w:rsidRPr="00DA5613">
        <w:rPr>
          <w:rFonts w:asciiTheme="minorHAnsi" w:hAnsiTheme="minorHAnsi" w:cstheme="minorHAnsi"/>
          <w:iCs/>
        </w:rPr>
        <w:t>enforcement and threatened enforcement</w:t>
      </w:r>
      <w:r w:rsidR="00EA1D04">
        <w:rPr>
          <w:rFonts w:asciiTheme="minorHAnsi" w:hAnsiTheme="minorHAnsi" w:cstheme="minorHAnsi"/>
          <w:iCs/>
        </w:rPr>
        <w:t>.</w:t>
      </w:r>
    </w:p>
    <w:p w14:paraId="26D00C1C" w14:textId="2C758208" w:rsidR="004130C6" w:rsidRPr="00DA5613" w:rsidRDefault="00EA1D04" w:rsidP="00EA1D04">
      <w:pPr>
        <w:pStyle w:val="NoSpacing"/>
        <w:spacing w:line="480" w:lineRule="auto"/>
        <w:ind w:firstLine="720"/>
        <w:rPr>
          <w:rFonts w:asciiTheme="minorHAnsi" w:hAnsiTheme="minorHAnsi" w:cstheme="minorHAnsi"/>
          <w:iCs/>
        </w:rPr>
      </w:pPr>
      <w:r>
        <w:rPr>
          <w:rFonts w:asciiTheme="minorHAnsi" w:hAnsiTheme="minorHAnsi" w:cstheme="minorHAnsi"/>
          <w:iCs/>
        </w:rPr>
        <w:t>As for Attorney General Paxton, he</w:t>
      </w:r>
      <w:r w:rsidR="004130C6" w:rsidRPr="00DA5613">
        <w:rPr>
          <w:rFonts w:asciiTheme="minorHAnsi" w:hAnsiTheme="minorHAnsi" w:cstheme="minorHAnsi"/>
          <w:iCs/>
        </w:rPr>
        <w:t xml:space="preserve"> has filed lawsuits against at least </w:t>
      </w:r>
      <w:r w:rsidR="00FD6982" w:rsidRPr="00DA5613">
        <w:rPr>
          <w:rFonts w:asciiTheme="minorHAnsi" w:hAnsiTheme="minorHAnsi" w:cstheme="minorHAnsi"/>
          <w:iCs/>
        </w:rPr>
        <w:t xml:space="preserve">fifteen </w:t>
      </w:r>
      <w:r w:rsidR="004130C6" w:rsidRPr="00DA5613">
        <w:rPr>
          <w:rFonts w:asciiTheme="minorHAnsi" w:hAnsiTheme="minorHAnsi" w:cstheme="minorHAnsi"/>
          <w:iCs/>
        </w:rPr>
        <w:t>school districts—including districts that some Plaintiffs attend—alleging th</w:t>
      </w:r>
      <w:r>
        <w:rPr>
          <w:rFonts w:asciiTheme="minorHAnsi" w:hAnsiTheme="minorHAnsi" w:cstheme="minorHAnsi"/>
          <w:iCs/>
        </w:rPr>
        <w:t>at they</w:t>
      </w:r>
      <w:r w:rsidR="004130C6" w:rsidRPr="00DA5613">
        <w:rPr>
          <w:rFonts w:asciiTheme="minorHAnsi" w:hAnsiTheme="minorHAnsi" w:cstheme="minorHAnsi"/>
          <w:iCs/>
        </w:rPr>
        <w:t xml:space="preserve"> have violated GA-38 by requiring masking and ask</w:t>
      </w:r>
      <w:r w:rsidR="000F412D">
        <w:rPr>
          <w:rFonts w:asciiTheme="minorHAnsi" w:hAnsiTheme="minorHAnsi" w:cstheme="minorHAnsi"/>
          <w:iCs/>
        </w:rPr>
        <w:t>ing</w:t>
      </w:r>
      <w:r w:rsidR="004130C6" w:rsidRPr="00DA5613">
        <w:rPr>
          <w:rFonts w:asciiTheme="minorHAnsi" w:hAnsiTheme="minorHAnsi" w:cstheme="minorHAnsi"/>
          <w:iCs/>
        </w:rPr>
        <w:t xml:space="preserve"> for injunctive relief compelling the school districts to discontinue their mask mandates.  </w:t>
      </w:r>
      <w:r w:rsidR="00AA7DF9">
        <w:t>Exs. 29, 33, 88, 92, 107, 111, 112, 115, 118, 120, 125</w:t>
      </w:r>
      <w:r w:rsidR="00AA7DF9" w:rsidRPr="00DA5613">
        <w:rPr>
          <w:rFonts w:asciiTheme="minorHAnsi" w:hAnsiTheme="minorHAnsi" w:cstheme="minorHAnsi"/>
        </w:rPr>
        <w:t xml:space="preserve"> (Petitions filed against school districts)</w:t>
      </w:r>
      <w:r w:rsidR="004130C6" w:rsidRPr="00DA5613">
        <w:rPr>
          <w:rFonts w:asciiTheme="minorHAnsi" w:hAnsiTheme="minorHAnsi" w:cstheme="minorHAnsi"/>
          <w:iCs/>
        </w:rPr>
        <w:t xml:space="preserve">.  </w:t>
      </w:r>
      <w:r>
        <w:rPr>
          <w:rFonts w:asciiTheme="minorHAnsi" w:hAnsiTheme="minorHAnsi" w:cstheme="minorHAnsi"/>
          <w:iCs/>
        </w:rPr>
        <w:t xml:space="preserve"> His</w:t>
      </w:r>
      <w:r w:rsidR="004130C6" w:rsidRPr="00DA5613">
        <w:rPr>
          <w:rFonts w:asciiTheme="minorHAnsi" w:hAnsiTheme="minorHAnsi" w:cstheme="minorHAnsi"/>
          <w:iCs/>
        </w:rPr>
        <w:t xml:space="preserve"> office has </w:t>
      </w:r>
      <w:r>
        <w:rPr>
          <w:rFonts w:asciiTheme="minorHAnsi" w:hAnsiTheme="minorHAnsi" w:cstheme="minorHAnsi"/>
          <w:iCs/>
        </w:rPr>
        <w:t xml:space="preserve">also </w:t>
      </w:r>
      <w:r w:rsidR="004130C6" w:rsidRPr="00DA5613">
        <w:rPr>
          <w:rFonts w:asciiTheme="minorHAnsi" w:hAnsiTheme="minorHAnsi" w:cstheme="minorHAnsi"/>
          <w:iCs/>
        </w:rPr>
        <w:t xml:space="preserve">sent letters to at least 98 school districts—including districts that some </w:t>
      </w:r>
      <w:r w:rsidR="002C3576">
        <w:rPr>
          <w:rFonts w:asciiTheme="minorHAnsi" w:hAnsiTheme="minorHAnsi" w:cstheme="minorHAnsi"/>
          <w:iCs/>
        </w:rPr>
        <w:t>P</w:t>
      </w:r>
      <w:r w:rsidR="004130C6" w:rsidRPr="00DA5613">
        <w:rPr>
          <w:rFonts w:asciiTheme="minorHAnsi" w:hAnsiTheme="minorHAnsi" w:cstheme="minorHAnsi"/>
          <w:iCs/>
        </w:rPr>
        <w:t>laintiffs attend—accusing the</w:t>
      </w:r>
      <w:r w:rsidR="002C3576">
        <w:rPr>
          <w:rFonts w:asciiTheme="minorHAnsi" w:hAnsiTheme="minorHAnsi" w:cstheme="minorHAnsi"/>
          <w:iCs/>
        </w:rPr>
        <w:t>m</w:t>
      </w:r>
      <w:r w:rsidR="004130C6" w:rsidRPr="00DA5613">
        <w:rPr>
          <w:rFonts w:asciiTheme="minorHAnsi" w:hAnsiTheme="minorHAnsi" w:cstheme="minorHAnsi"/>
          <w:iCs/>
        </w:rPr>
        <w:t xml:space="preserve"> of violating GA-38 by requiring masking, demanding that the school districts discontinue their mask mandates, and threaten</w:t>
      </w:r>
      <w:r w:rsidR="002C3576">
        <w:rPr>
          <w:rFonts w:asciiTheme="minorHAnsi" w:hAnsiTheme="minorHAnsi" w:cstheme="minorHAnsi"/>
          <w:iCs/>
        </w:rPr>
        <w:t>ing</w:t>
      </w:r>
      <w:r w:rsidR="004130C6" w:rsidRPr="00DA5613">
        <w:rPr>
          <w:rFonts w:asciiTheme="minorHAnsi" w:hAnsiTheme="minorHAnsi" w:cstheme="minorHAnsi"/>
          <w:iCs/>
        </w:rPr>
        <w:t xml:space="preserve"> the</w:t>
      </w:r>
      <w:r w:rsidR="002C3576">
        <w:rPr>
          <w:rFonts w:asciiTheme="minorHAnsi" w:hAnsiTheme="minorHAnsi" w:cstheme="minorHAnsi"/>
          <w:iCs/>
        </w:rPr>
        <w:t>m</w:t>
      </w:r>
      <w:r w:rsidR="004130C6" w:rsidRPr="00DA5613">
        <w:rPr>
          <w:rFonts w:asciiTheme="minorHAnsi" w:hAnsiTheme="minorHAnsi" w:cstheme="minorHAnsi"/>
          <w:iCs/>
        </w:rPr>
        <w:t xml:space="preserve"> with litigation.  </w:t>
      </w:r>
      <w:r w:rsidR="00AA7DF9" w:rsidRPr="00DA5613">
        <w:rPr>
          <w:rFonts w:asciiTheme="minorHAnsi" w:hAnsiTheme="minorHAnsi" w:cstheme="minorHAnsi"/>
        </w:rPr>
        <w:t>(AG Paxton’s COVID-19 List of Noncompliant Entities as of September 22, 2021)</w:t>
      </w:r>
      <w:r w:rsidR="00AA7DF9">
        <w:rPr>
          <w:rFonts w:asciiTheme="minorHAnsi" w:hAnsiTheme="minorHAnsi" w:cstheme="minorHAnsi"/>
        </w:rPr>
        <w:t xml:space="preserve">; </w:t>
      </w:r>
      <w:r w:rsidR="00AA7DF9" w:rsidRPr="00AA7DF9">
        <w:rPr>
          <w:i/>
          <w:iCs/>
        </w:rPr>
        <w:t>see,</w:t>
      </w:r>
      <w:r w:rsidR="00AA7DF9" w:rsidRPr="0052109B">
        <w:t xml:space="preserve"> </w:t>
      </w:r>
      <w:r w:rsidR="00AA7DF9" w:rsidRPr="0052109B">
        <w:rPr>
          <w:i/>
          <w:iCs/>
        </w:rPr>
        <w:t>e.g</w:t>
      </w:r>
      <w:r w:rsidR="00AA7DF9" w:rsidRPr="0052109B">
        <w:t xml:space="preserve">., Ex. </w:t>
      </w:r>
      <w:r w:rsidR="00AA7DF9">
        <w:t>32</w:t>
      </w:r>
      <w:r w:rsidR="00AA7DF9" w:rsidRPr="0052109B">
        <w:t xml:space="preserve"> (OAG Letter to Round Rock ISD on August 17, 2021); Ex. </w:t>
      </w:r>
      <w:r w:rsidR="00AA7DF9">
        <w:t>28</w:t>
      </w:r>
      <w:r w:rsidR="00AA7DF9" w:rsidRPr="0052109B">
        <w:t xml:space="preserve"> (OAG Letter to Richardson ISD on August 17, 2021); Ex. </w:t>
      </w:r>
      <w:r w:rsidR="00AA7DF9">
        <w:t>91</w:t>
      </w:r>
      <w:r w:rsidR="00AA7DF9" w:rsidRPr="0052109B">
        <w:t xml:space="preserve"> (OAG Letter to Honey Grove ISD on September 3, 2021); Ex. </w:t>
      </w:r>
      <w:r w:rsidR="00AA7DF9">
        <w:t>87</w:t>
      </w:r>
      <w:r w:rsidR="00AA7DF9" w:rsidRPr="0052109B">
        <w:t xml:space="preserve"> (OAG Letter to Sherman ISD on September 3, 2021) (emphasis added).</w:t>
      </w:r>
      <w:r w:rsidR="00AA7DF9">
        <w:rPr>
          <w:rFonts w:asciiTheme="minorHAnsi" w:hAnsiTheme="minorHAnsi" w:cstheme="minorHAnsi"/>
        </w:rPr>
        <w:t xml:space="preserve"> </w:t>
      </w:r>
      <w:r w:rsidR="004130C6" w:rsidRPr="00DA5613">
        <w:rPr>
          <w:rFonts w:asciiTheme="minorHAnsi" w:hAnsiTheme="minorHAnsi" w:cstheme="minorHAnsi"/>
          <w:iCs/>
        </w:rPr>
        <w:t xml:space="preserve"> For example, </w:t>
      </w:r>
      <w:r w:rsidR="000F412D">
        <w:rPr>
          <w:rFonts w:asciiTheme="minorHAnsi" w:hAnsiTheme="minorHAnsi" w:cstheme="minorHAnsi"/>
          <w:iCs/>
        </w:rPr>
        <w:t>t</w:t>
      </w:r>
      <w:r w:rsidR="004130C6" w:rsidRPr="00DA5613">
        <w:rPr>
          <w:rFonts w:asciiTheme="minorHAnsi" w:hAnsiTheme="minorHAnsi" w:cstheme="minorHAnsi"/>
          <w:iCs/>
        </w:rPr>
        <w:t>he Attorney General’s letter to Round Rock Independent School District says,</w:t>
      </w:r>
    </w:p>
    <w:p w14:paraId="7A175C7B" w14:textId="7BE0A711" w:rsidR="004130C6" w:rsidRPr="00DA5613" w:rsidRDefault="004130C6" w:rsidP="00EA1D04">
      <w:pPr>
        <w:pStyle w:val="NoSpacing"/>
        <w:ind w:left="720" w:right="720"/>
        <w:rPr>
          <w:rFonts w:asciiTheme="minorHAnsi" w:hAnsiTheme="minorHAnsi" w:cstheme="minorHAnsi"/>
          <w:iCs/>
        </w:rPr>
      </w:pPr>
      <w:r w:rsidRPr="00DA5613">
        <w:rPr>
          <w:rFonts w:asciiTheme="minorHAnsi" w:hAnsiTheme="minorHAnsi" w:cstheme="minorHAnsi"/>
          <w:iCs/>
        </w:rPr>
        <w:t xml:space="preserve">You recently enacted a local policy mandating that students and faculty wear face masks at schools in your district. Your actions exceeded your authority as restricted by Governor Abbott’s Executive Order GA-38, which states that “[n]o governmental entity, including a county, city, school district, and public health authority, and no governmental official may require any person to wear a face covering or to mandate that another person wear a face covering[.] . . . you will rescind your local policy requiring masks in public schools or, alternatively, not enforce it pending the Supreme Court’s disposition of the cases before it involving this issue. Otherwise, you will face legal action taken by my office to </w:t>
      </w:r>
      <w:r w:rsidRPr="00DA5613">
        <w:rPr>
          <w:rFonts w:asciiTheme="minorHAnsi" w:hAnsiTheme="minorHAnsi" w:cstheme="minorHAnsi"/>
          <w:b/>
          <w:bCs/>
          <w:i/>
        </w:rPr>
        <w:t>enforce</w:t>
      </w:r>
      <w:r w:rsidRPr="00DA5613">
        <w:rPr>
          <w:rFonts w:asciiTheme="minorHAnsi" w:hAnsiTheme="minorHAnsi" w:cstheme="minorHAnsi"/>
          <w:iCs/>
        </w:rPr>
        <w:t xml:space="preserve"> the</w:t>
      </w:r>
      <w:r w:rsidR="00EA1D04">
        <w:rPr>
          <w:rFonts w:asciiTheme="minorHAnsi" w:hAnsiTheme="minorHAnsi" w:cstheme="minorHAnsi"/>
          <w:iCs/>
        </w:rPr>
        <w:t xml:space="preserve"> </w:t>
      </w:r>
      <w:r w:rsidRPr="00DA5613">
        <w:rPr>
          <w:rFonts w:asciiTheme="minorHAnsi" w:hAnsiTheme="minorHAnsi" w:cstheme="minorHAnsi"/>
          <w:iCs/>
        </w:rPr>
        <w:t>Governor’s order and protect the rule of law.</w:t>
      </w:r>
    </w:p>
    <w:p w14:paraId="6D43CC92" w14:textId="77777777" w:rsidR="004130C6" w:rsidRPr="00DA5613" w:rsidRDefault="004130C6" w:rsidP="00545E56">
      <w:pPr>
        <w:pStyle w:val="NoSpacing"/>
        <w:ind w:left="720" w:right="720"/>
        <w:rPr>
          <w:rFonts w:asciiTheme="minorHAnsi" w:hAnsiTheme="minorHAnsi" w:cstheme="minorHAnsi"/>
          <w:iCs/>
        </w:rPr>
      </w:pPr>
    </w:p>
    <w:p w14:paraId="5D0C00D6" w14:textId="189C2164" w:rsidR="004130C6" w:rsidRPr="00DA5613" w:rsidRDefault="004130C6" w:rsidP="00545E56">
      <w:pPr>
        <w:pStyle w:val="NoSpacing"/>
        <w:spacing w:line="480" w:lineRule="auto"/>
        <w:rPr>
          <w:rFonts w:asciiTheme="minorHAnsi" w:hAnsiTheme="minorHAnsi" w:cstheme="minorHAnsi"/>
          <w:iCs/>
        </w:rPr>
      </w:pPr>
      <w:r w:rsidRPr="00DA5613">
        <w:rPr>
          <w:rFonts w:asciiTheme="minorHAnsi" w:hAnsiTheme="minorHAnsi" w:cstheme="minorHAnsi"/>
          <w:iCs/>
        </w:rPr>
        <w:t xml:space="preserve">Ex. </w:t>
      </w:r>
      <w:r w:rsidR="00AA7DF9">
        <w:rPr>
          <w:rFonts w:asciiTheme="minorHAnsi" w:hAnsiTheme="minorHAnsi" w:cstheme="minorHAnsi"/>
          <w:iCs/>
        </w:rPr>
        <w:t>32</w:t>
      </w:r>
      <w:r w:rsidRPr="00DA5613">
        <w:rPr>
          <w:rFonts w:asciiTheme="minorHAnsi" w:hAnsiTheme="minorHAnsi" w:cstheme="minorHAnsi"/>
          <w:iCs/>
        </w:rPr>
        <w:t xml:space="preserve"> at 1–2</w:t>
      </w:r>
      <w:r w:rsidR="00B33E5E" w:rsidRPr="00DA5613">
        <w:rPr>
          <w:rFonts w:asciiTheme="minorHAnsi" w:hAnsiTheme="minorHAnsi" w:cstheme="minorHAnsi"/>
          <w:iCs/>
        </w:rPr>
        <w:t xml:space="preserve"> (emphasis added)</w:t>
      </w:r>
      <w:r w:rsidRPr="00DA5613">
        <w:rPr>
          <w:rFonts w:asciiTheme="minorHAnsi" w:hAnsiTheme="minorHAnsi" w:cstheme="minorHAnsi"/>
          <w:iCs/>
        </w:rPr>
        <w:t xml:space="preserve">.  </w:t>
      </w:r>
      <w:r w:rsidR="002C3576">
        <w:rPr>
          <w:rFonts w:asciiTheme="minorHAnsi" w:hAnsiTheme="minorHAnsi" w:cstheme="minorHAnsi"/>
          <w:iCs/>
        </w:rPr>
        <w:t xml:space="preserve">And finally, he </w:t>
      </w:r>
      <w:r w:rsidRPr="00DA5613">
        <w:rPr>
          <w:rFonts w:asciiTheme="minorHAnsi" w:hAnsiTheme="minorHAnsi" w:cstheme="minorHAnsi"/>
          <w:iCs/>
        </w:rPr>
        <w:t xml:space="preserve">has made public threats that he will sue other school districts to enforce GA-38’s mask mandates, has tweeted about his litigation campaign against school districts who want to require masking, and has posted on his </w:t>
      </w:r>
      <w:r w:rsidR="000F412D">
        <w:rPr>
          <w:rFonts w:asciiTheme="minorHAnsi" w:hAnsiTheme="minorHAnsi" w:cstheme="minorHAnsi"/>
          <w:iCs/>
        </w:rPr>
        <w:t>O</w:t>
      </w:r>
      <w:r w:rsidRPr="00DA5613">
        <w:rPr>
          <w:rFonts w:asciiTheme="minorHAnsi" w:hAnsiTheme="minorHAnsi" w:cstheme="minorHAnsi"/>
          <w:iCs/>
        </w:rPr>
        <w:t>ffice’s official website a list of school districts—including all school districts Plaintiffs attend—</w:t>
      </w:r>
      <w:r w:rsidR="002C3576">
        <w:rPr>
          <w:rFonts w:asciiTheme="minorHAnsi" w:hAnsiTheme="minorHAnsi" w:cstheme="minorHAnsi"/>
          <w:iCs/>
        </w:rPr>
        <w:t xml:space="preserve">that </w:t>
      </w:r>
      <w:r w:rsidRPr="00DA5613">
        <w:rPr>
          <w:rFonts w:asciiTheme="minorHAnsi" w:hAnsiTheme="minorHAnsi" w:cstheme="minorHAnsi"/>
          <w:iCs/>
        </w:rPr>
        <w:t xml:space="preserve">he claims are violating GA-38.  </w:t>
      </w:r>
      <w:r w:rsidR="002C3576" w:rsidRPr="002C3576">
        <w:rPr>
          <w:rFonts w:asciiTheme="minorHAnsi" w:hAnsiTheme="minorHAnsi" w:cstheme="minorHAnsi"/>
          <w:i/>
        </w:rPr>
        <w:t>See supra</w:t>
      </w:r>
      <w:r w:rsidR="002C3576">
        <w:rPr>
          <w:rFonts w:asciiTheme="minorHAnsi" w:hAnsiTheme="minorHAnsi" w:cstheme="minorHAnsi"/>
          <w:iCs/>
        </w:rPr>
        <w:t xml:space="preserve"> at </w:t>
      </w:r>
      <w:r w:rsidR="00AA7DF9">
        <w:rPr>
          <w:rFonts w:asciiTheme="minorHAnsi" w:hAnsiTheme="minorHAnsi" w:cstheme="minorHAnsi"/>
          <w:iCs/>
        </w:rPr>
        <w:t>Section II.C</w:t>
      </w:r>
      <w:r w:rsidR="002C3576">
        <w:rPr>
          <w:rFonts w:asciiTheme="minorHAnsi" w:hAnsiTheme="minorHAnsi" w:cstheme="minorHAnsi"/>
          <w:iCs/>
        </w:rPr>
        <w:t>.</w:t>
      </w:r>
      <w:r w:rsidRPr="00DA5613">
        <w:rPr>
          <w:rFonts w:asciiTheme="minorHAnsi" w:hAnsiTheme="minorHAnsi" w:cstheme="minorHAnsi"/>
          <w:iCs/>
        </w:rPr>
        <w:t xml:space="preserve"> </w:t>
      </w:r>
    </w:p>
    <w:p w14:paraId="5975DC75" w14:textId="768E0B19" w:rsidR="0090791B"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iCs/>
        </w:rPr>
        <w:tab/>
        <w:t>Commissioner Morath</w:t>
      </w:r>
      <w:r w:rsidR="0031154B">
        <w:rPr>
          <w:rFonts w:asciiTheme="minorHAnsi" w:hAnsiTheme="minorHAnsi" w:cstheme="minorHAnsi"/>
          <w:iCs/>
        </w:rPr>
        <w:t xml:space="preserve"> of the Texas Education Agency (“TEA”)</w:t>
      </w:r>
      <w:r w:rsidRPr="00DA5613">
        <w:rPr>
          <w:rFonts w:asciiTheme="minorHAnsi" w:hAnsiTheme="minorHAnsi" w:cstheme="minorHAnsi"/>
          <w:iCs/>
        </w:rPr>
        <w:t xml:space="preserve"> is playing a key role in the Attorney General’s enforcement campaign in at least two ways.  First,</w:t>
      </w:r>
      <w:r w:rsidR="0031154B">
        <w:rPr>
          <w:rFonts w:asciiTheme="minorHAnsi" w:hAnsiTheme="minorHAnsi" w:cstheme="minorHAnsi"/>
          <w:iCs/>
        </w:rPr>
        <w:t xml:space="preserve"> the TEA’s representatives </w:t>
      </w:r>
      <w:r w:rsidRPr="00DA5613">
        <w:rPr>
          <w:rFonts w:asciiTheme="minorHAnsi" w:hAnsiTheme="minorHAnsi" w:cstheme="minorHAnsi"/>
          <w:iCs/>
        </w:rPr>
        <w:t xml:space="preserve">testified </w:t>
      </w:r>
      <w:r w:rsidR="0031154B">
        <w:rPr>
          <w:rFonts w:asciiTheme="minorHAnsi" w:hAnsiTheme="minorHAnsi" w:cstheme="minorHAnsi"/>
          <w:iCs/>
        </w:rPr>
        <w:t>at</w:t>
      </w:r>
      <w:r w:rsidRPr="00DA5613">
        <w:rPr>
          <w:rFonts w:asciiTheme="minorHAnsi" w:hAnsiTheme="minorHAnsi" w:cstheme="minorHAnsi"/>
          <w:iCs/>
        </w:rPr>
        <w:t xml:space="preserve"> deposition that it receives complaints about school districts </w:t>
      </w:r>
      <w:r w:rsidR="00B70B66">
        <w:rPr>
          <w:rFonts w:asciiTheme="minorHAnsi" w:hAnsiTheme="minorHAnsi" w:cstheme="minorHAnsi"/>
          <w:iCs/>
        </w:rPr>
        <w:t>that</w:t>
      </w:r>
      <w:r w:rsidR="00B70B66" w:rsidRPr="00DA5613">
        <w:rPr>
          <w:rFonts w:asciiTheme="minorHAnsi" w:hAnsiTheme="minorHAnsi" w:cstheme="minorHAnsi"/>
          <w:iCs/>
        </w:rPr>
        <w:t xml:space="preserve"> </w:t>
      </w:r>
      <w:r w:rsidRPr="00DA5613">
        <w:rPr>
          <w:rFonts w:asciiTheme="minorHAnsi" w:hAnsiTheme="minorHAnsi" w:cstheme="minorHAnsi"/>
          <w:iCs/>
        </w:rPr>
        <w:t>are requiring masking and has been sending the names of those school districts to the Attorney General</w:t>
      </w:r>
      <w:r w:rsidR="0031154B">
        <w:rPr>
          <w:rFonts w:asciiTheme="minorHAnsi" w:hAnsiTheme="minorHAnsi" w:cstheme="minorHAnsi"/>
          <w:iCs/>
        </w:rPr>
        <w:t>’</w:t>
      </w:r>
      <w:r w:rsidRPr="00DA5613">
        <w:rPr>
          <w:rFonts w:asciiTheme="minorHAnsi" w:hAnsiTheme="minorHAnsi" w:cstheme="minorHAnsi"/>
          <w:iCs/>
        </w:rPr>
        <w:t>s office twice</w:t>
      </w:r>
      <w:r w:rsidR="00B70B66">
        <w:rPr>
          <w:rFonts w:asciiTheme="minorHAnsi" w:hAnsiTheme="minorHAnsi" w:cstheme="minorHAnsi"/>
          <w:iCs/>
        </w:rPr>
        <w:t xml:space="preserve"> a</w:t>
      </w:r>
      <w:r w:rsidRPr="00DA5613">
        <w:rPr>
          <w:rFonts w:asciiTheme="minorHAnsi" w:hAnsiTheme="minorHAnsi" w:cstheme="minorHAnsi"/>
          <w:iCs/>
        </w:rPr>
        <w:t xml:space="preserve"> week.  </w:t>
      </w:r>
      <w:r w:rsidR="0090791B" w:rsidRPr="00DA5613">
        <w:rPr>
          <w:rFonts w:asciiTheme="minorHAnsi" w:hAnsiTheme="minorHAnsi" w:cstheme="minorHAnsi"/>
        </w:rPr>
        <w:t xml:space="preserve">Ex. </w:t>
      </w:r>
      <w:r w:rsidR="0090791B">
        <w:rPr>
          <w:rFonts w:asciiTheme="minorHAnsi" w:hAnsiTheme="minorHAnsi" w:cstheme="minorHAnsi"/>
        </w:rPr>
        <w:t>160</w:t>
      </w:r>
      <w:r w:rsidR="0090791B" w:rsidRPr="00DA5613">
        <w:rPr>
          <w:rFonts w:asciiTheme="minorHAnsi" w:hAnsiTheme="minorHAnsi" w:cstheme="minorHAnsi"/>
        </w:rPr>
        <w:t xml:space="preserve"> at 18:15</w:t>
      </w:r>
      <w:r w:rsidR="0090791B">
        <w:rPr>
          <w:rFonts w:asciiTheme="minorHAnsi" w:hAnsiTheme="minorHAnsi" w:cstheme="minorHAnsi"/>
        </w:rPr>
        <w:t>-</w:t>
      </w:r>
      <w:r w:rsidR="0090791B" w:rsidRPr="00DA5613">
        <w:rPr>
          <w:rFonts w:asciiTheme="minorHAnsi" w:hAnsiTheme="minorHAnsi" w:cstheme="minorHAnsi"/>
        </w:rPr>
        <w:t>19:23; 21:12-17 (A. Jernigan Depo)</w:t>
      </w:r>
      <w:r w:rsidR="0090791B">
        <w:rPr>
          <w:rFonts w:asciiTheme="minorHAnsi" w:hAnsiTheme="minorHAnsi" w:cstheme="minorHAnsi"/>
        </w:rPr>
        <w:t>; see also</w:t>
      </w:r>
    </w:p>
    <w:p w14:paraId="4A1741F4" w14:textId="32E371BA" w:rsidR="004130C6" w:rsidRPr="00DA5613" w:rsidRDefault="0090791B" w:rsidP="00545E56">
      <w:pPr>
        <w:pStyle w:val="NoSpacing"/>
        <w:spacing w:line="480" w:lineRule="auto"/>
        <w:rPr>
          <w:rFonts w:asciiTheme="minorHAnsi" w:hAnsiTheme="minorHAnsi" w:cstheme="minorHAnsi"/>
          <w:iCs/>
        </w:rPr>
      </w:pPr>
      <w:r>
        <w:rPr>
          <w:rFonts w:asciiTheme="minorHAnsi" w:hAnsiTheme="minorHAnsi" w:cstheme="minorHAnsi"/>
        </w:rPr>
        <w:t>Exs. 343, 344, 345, 346, 347, 348, 349, 350, 351, 352 (Emails from TEA to Attorney General’s Office reporting noncompliant school districts)</w:t>
      </w:r>
      <w:r w:rsidR="004130C6" w:rsidRPr="00DA5613">
        <w:rPr>
          <w:rFonts w:asciiTheme="minorHAnsi" w:hAnsiTheme="minorHAnsi" w:cstheme="minorHAnsi"/>
          <w:iCs/>
        </w:rPr>
        <w:t xml:space="preserve">.  The </w:t>
      </w:r>
      <w:r w:rsidR="0031154B">
        <w:rPr>
          <w:rFonts w:asciiTheme="minorHAnsi" w:hAnsiTheme="minorHAnsi" w:cstheme="minorHAnsi"/>
          <w:iCs/>
        </w:rPr>
        <w:t>TEA</w:t>
      </w:r>
      <w:r w:rsidR="004130C6" w:rsidRPr="00DA5613">
        <w:rPr>
          <w:rFonts w:asciiTheme="minorHAnsi" w:hAnsiTheme="minorHAnsi" w:cstheme="minorHAnsi"/>
          <w:iCs/>
        </w:rPr>
        <w:t xml:space="preserve"> is therefore serving as Attorney General Paxton’s detective—providing him with the names of school districts to target for litigation.  Second, the </w:t>
      </w:r>
      <w:r w:rsidR="0031154B">
        <w:rPr>
          <w:rFonts w:asciiTheme="minorHAnsi" w:hAnsiTheme="minorHAnsi" w:cstheme="minorHAnsi"/>
          <w:iCs/>
        </w:rPr>
        <w:t>TEA</w:t>
      </w:r>
      <w:r w:rsidR="004130C6" w:rsidRPr="00DA5613">
        <w:rPr>
          <w:rFonts w:asciiTheme="minorHAnsi" w:hAnsiTheme="minorHAnsi" w:cstheme="minorHAnsi"/>
          <w:iCs/>
        </w:rPr>
        <w:t xml:space="preserve"> has </w:t>
      </w:r>
      <w:r w:rsidR="0031154B">
        <w:rPr>
          <w:rFonts w:asciiTheme="minorHAnsi" w:hAnsiTheme="minorHAnsi" w:cstheme="minorHAnsi"/>
          <w:iCs/>
        </w:rPr>
        <w:t xml:space="preserve">incorporated GA-38’s prohibition on mask mandates into its own official guidance for schools.  </w:t>
      </w:r>
      <w:r w:rsidR="004130C6" w:rsidRPr="00DA5613">
        <w:rPr>
          <w:rFonts w:asciiTheme="minorHAnsi" w:hAnsiTheme="minorHAnsi" w:cstheme="minorHAnsi"/>
          <w:iCs/>
        </w:rPr>
        <w:t xml:space="preserve">Exs. </w:t>
      </w:r>
      <w:r>
        <w:rPr>
          <w:rFonts w:asciiTheme="minorHAnsi" w:hAnsiTheme="minorHAnsi" w:cstheme="minorHAnsi"/>
          <w:iCs/>
        </w:rPr>
        <w:t>4</w:t>
      </w:r>
      <w:r w:rsidR="004130C6" w:rsidRPr="00DA5613">
        <w:rPr>
          <w:rFonts w:asciiTheme="minorHAnsi" w:hAnsiTheme="minorHAnsi" w:cstheme="minorHAnsi"/>
          <w:iCs/>
        </w:rPr>
        <w:t xml:space="preserve">, </w:t>
      </w:r>
      <w:r>
        <w:rPr>
          <w:rFonts w:asciiTheme="minorHAnsi" w:hAnsiTheme="minorHAnsi" w:cstheme="minorHAnsi"/>
          <w:iCs/>
        </w:rPr>
        <w:t>2</w:t>
      </w:r>
      <w:r w:rsidR="0031154B">
        <w:rPr>
          <w:rFonts w:asciiTheme="minorHAnsi" w:hAnsiTheme="minorHAnsi" w:cstheme="minorHAnsi"/>
          <w:iCs/>
        </w:rPr>
        <w:t xml:space="preserve"> (</w:t>
      </w:r>
      <w:r w:rsidR="004130C6" w:rsidRPr="00DA5613">
        <w:rPr>
          <w:rFonts w:asciiTheme="minorHAnsi" w:hAnsiTheme="minorHAnsi" w:cstheme="minorHAnsi"/>
          <w:iCs/>
        </w:rPr>
        <w:t>“Per GA-38, school systems cannot require students or staff to wear a mask.”</w:t>
      </w:r>
      <w:r w:rsidR="0031154B">
        <w:rPr>
          <w:rFonts w:asciiTheme="minorHAnsi" w:hAnsiTheme="minorHAnsi" w:cstheme="minorHAnsi"/>
          <w:iCs/>
        </w:rPr>
        <w:t xml:space="preserve">).  </w:t>
      </w:r>
      <w:r w:rsidR="004130C6" w:rsidRPr="00DA5613">
        <w:rPr>
          <w:rFonts w:asciiTheme="minorHAnsi" w:hAnsiTheme="minorHAnsi" w:cstheme="minorHAnsi"/>
          <w:iCs/>
        </w:rPr>
        <w:t>The TEA intends this guidance to dissuade school</w:t>
      </w:r>
      <w:r w:rsidR="00B82EA2" w:rsidRPr="00DA5613">
        <w:rPr>
          <w:rFonts w:asciiTheme="minorHAnsi" w:hAnsiTheme="minorHAnsi" w:cstheme="minorHAnsi"/>
          <w:iCs/>
        </w:rPr>
        <w:t xml:space="preserve"> districts</w:t>
      </w:r>
      <w:r w:rsidR="004130C6" w:rsidRPr="00DA5613">
        <w:rPr>
          <w:rFonts w:asciiTheme="minorHAnsi" w:hAnsiTheme="minorHAnsi" w:cstheme="minorHAnsi"/>
          <w:iCs/>
        </w:rPr>
        <w:t xml:space="preserve"> from requiring masking.  Ex. </w:t>
      </w:r>
      <w:r>
        <w:rPr>
          <w:rFonts w:asciiTheme="minorHAnsi" w:hAnsiTheme="minorHAnsi" w:cstheme="minorHAnsi"/>
          <w:iCs/>
        </w:rPr>
        <w:t>160</w:t>
      </w:r>
      <w:r w:rsidR="00B82EA2" w:rsidRPr="00DA5613">
        <w:rPr>
          <w:rFonts w:asciiTheme="minorHAnsi" w:hAnsiTheme="minorHAnsi" w:cstheme="minorHAnsi"/>
          <w:iCs/>
        </w:rPr>
        <w:t xml:space="preserve"> at 39:13-44:17 (A. Jernigan Depo)</w:t>
      </w:r>
      <w:r w:rsidR="004130C6" w:rsidRPr="00DA5613">
        <w:rPr>
          <w:rFonts w:asciiTheme="minorHAnsi" w:hAnsiTheme="minorHAnsi" w:cstheme="minorHAnsi"/>
          <w:iCs/>
        </w:rPr>
        <w:t xml:space="preserve">.  Thus, in addition to providing the Attorney General with </w:t>
      </w:r>
      <w:r w:rsidR="0031154B">
        <w:rPr>
          <w:rFonts w:asciiTheme="minorHAnsi" w:hAnsiTheme="minorHAnsi" w:cstheme="minorHAnsi"/>
          <w:iCs/>
        </w:rPr>
        <w:t>information</w:t>
      </w:r>
      <w:r w:rsidR="004130C6" w:rsidRPr="00DA5613">
        <w:rPr>
          <w:rFonts w:asciiTheme="minorHAnsi" w:hAnsiTheme="minorHAnsi" w:cstheme="minorHAnsi"/>
          <w:iCs/>
        </w:rPr>
        <w:t xml:space="preserve"> about school districts for his litigation campaign, Commissioner Morath </w:t>
      </w:r>
      <w:r w:rsidR="0031154B">
        <w:rPr>
          <w:rFonts w:asciiTheme="minorHAnsi" w:hAnsiTheme="minorHAnsi" w:cstheme="minorHAnsi"/>
          <w:iCs/>
        </w:rPr>
        <w:t>and his agency are</w:t>
      </w:r>
      <w:r w:rsidR="004130C6" w:rsidRPr="00DA5613">
        <w:rPr>
          <w:rFonts w:asciiTheme="minorHAnsi" w:hAnsiTheme="minorHAnsi" w:cstheme="minorHAnsi"/>
          <w:iCs/>
        </w:rPr>
        <w:t xml:space="preserve"> taking </w:t>
      </w:r>
      <w:r w:rsidR="0031154B">
        <w:rPr>
          <w:rFonts w:asciiTheme="minorHAnsi" w:hAnsiTheme="minorHAnsi" w:cstheme="minorHAnsi"/>
          <w:iCs/>
        </w:rPr>
        <w:t>their</w:t>
      </w:r>
      <w:r w:rsidR="004130C6" w:rsidRPr="00DA5613">
        <w:rPr>
          <w:rFonts w:asciiTheme="minorHAnsi" w:hAnsiTheme="minorHAnsi" w:cstheme="minorHAnsi"/>
          <w:iCs/>
        </w:rPr>
        <w:t xml:space="preserve"> own actions to “dissuade” schools from violating GA-38.  </w:t>
      </w:r>
    </w:p>
    <w:p w14:paraId="6BBDD3FC" w14:textId="4D4BA67B" w:rsidR="004130C6" w:rsidRPr="00DA5613" w:rsidRDefault="004130C6" w:rsidP="00046115">
      <w:pPr>
        <w:pStyle w:val="NoSpacing"/>
        <w:spacing w:line="480" w:lineRule="auto"/>
        <w:rPr>
          <w:rFonts w:asciiTheme="minorHAnsi" w:hAnsiTheme="minorHAnsi" w:cstheme="minorHAnsi"/>
        </w:rPr>
      </w:pPr>
      <w:r w:rsidRPr="00DA5613">
        <w:rPr>
          <w:rFonts w:asciiTheme="minorHAnsi" w:hAnsiTheme="minorHAnsi" w:cstheme="minorHAnsi"/>
          <w:iCs/>
        </w:rPr>
        <w:tab/>
      </w:r>
      <w:r w:rsidR="00512085">
        <w:rPr>
          <w:rFonts w:asciiTheme="minorHAnsi" w:hAnsiTheme="minorHAnsi" w:cstheme="minorHAnsi"/>
          <w:iCs/>
        </w:rPr>
        <w:t xml:space="preserve">These active enforcement efforts are more than sufficient to bring Defendants within </w:t>
      </w:r>
      <w:r w:rsidR="00512085" w:rsidRPr="00512085">
        <w:rPr>
          <w:rFonts w:asciiTheme="minorHAnsi" w:hAnsiTheme="minorHAnsi" w:cstheme="minorHAnsi"/>
          <w:i/>
        </w:rPr>
        <w:t>Ex parte Young</w:t>
      </w:r>
      <w:r w:rsidR="00512085">
        <w:rPr>
          <w:rFonts w:asciiTheme="minorHAnsi" w:hAnsiTheme="minorHAnsi" w:cstheme="minorHAnsi"/>
          <w:iCs/>
        </w:rPr>
        <w:t xml:space="preserve">.  As the Court has explained, the </w:t>
      </w:r>
      <w:r w:rsidR="00512085" w:rsidRPr="00512085">
        <w:rPr>
          <w:rFonts w:asciiTheme="minorHAnsi" w:hAnsiTheme="minorHAnsi" w:cstheme="minorHAnsi"/>
          <w:i/>
        </w:rPr>
        <w:t>Ex parte Young</w:t>
      </w:r>
      <w:r w:rsidR="00512085">
        <w:rPr>
          <w:rFonts w:asciiTheme="minorHAnsi" w:hAnsiTheme="minorHAnsi" w:cstheme="minorHAnsi"/>
          <w:iCs/>
        </w:rPr>
        <w:t xml:space="preserve"> doctrine recognizes that a state official enforcing an unconstitutional law </w:t>
      </w:r>
      <w:r w:rsidRPr="00DA5613">
        <w:rPr>
          <w:rFonts w:asciiTheme="minorHAnsi" w:hAnsiTheme="minorHAnsi" w:cstheme="minorHAnsi"/>
        </w:rPr>
        <w:t>“</w:t>
      </w:r>
      <w:r w:rsidR="00512085">
        <w:rPr>
          <w:rFonts w:asciiTheme="minorHAnsi" w:hAnsiTheme="minorHAnsi" w:cstheme="minorHAnsi"/>
        </w:rPr>
        <w:t>‘</w:t>
      </w:r>
      <w:r w:rsidRPr="00DA5613">
        <w:rPr>
          <w:rFonts w:asciiTheme="minorHAnsi" w:hAnsiTheme="minorHAnsi" w:cstheme="minorHAnsi"/>
        </w:rPr>
        <w:t>comes into conflict with the superior authority of [the] Constitution,</w:t>
      </w:r>
      <w:r w:rsidR="00512085">
        <w:rPr>
          <w:rFonts w:asciiTheme="minorHAnsi" w:hAnsiTheme="minorHAnsi" w:cstheme="minorHAnsi"/>
        </w:rPr>
        <w:t>’</w:t>
      </w:r>
      <w:r w:rsidRPr="00DA5613">
        <w:rPr>
          <w:rFonts w:asciiTheme="minorHAnsi" w:hAnsiTheme="minorHAnsi" w:cstheme="minorHAnsi"/>
        </w:rPr>
        <w:t xml:space="preserve"> and therefore is </w:t>
      </w:r>
      <w:r w:rsidR="00512085">
        <w:rPr>
          <w:rFonts w:asciiTheme="minorHAnsi" w:hAnsiTheme="minorHAnsi" w:cstheme="minorHAnsi"/>
        </w:rPr>
        <w:t>‘</w:t>
      </w:r>
      <w:r w:rsidRPr="00DA5613">
        <w:rPr>
          <w:rFonts w:asciiTheme="minorHAnsi" w:hAnsiTheme="minorHAnsi" w:cstheme="minorHAnsi"/>
        </w:rPr>
        <w:t>stripped of his official or representative character and is subjected in his person to the consequences of his individual conduct. The State has no power to impart to him any immunity from responsibility to the supreme authority of the United States.</w:t>
      </w:r>
      <w:r w:rsidR="00046115">
        <w:rPr>
          <w:rFonts w:asciiTheme="minorHAnsi" w:hAnsiTheme="minorHAnsi" w:cstheme="minorHAnsi"/>
        </w:rPr>
        <w:t>’”</w:t>
      </w:r>
    </w:p>
    <w:p w14:paraId="42AAC8D4" w14:textId="575A4804" w:rsidR="004130C6" w:rsidRPr="00DA5613" w:rsidRDefault="004130C6" w:rsidP="00512085">
      <w:pPr>
        <w:pStyle w:val="NoSpacing"/>
        <w:spacing w:line="480" w:lineRule="auto"/>
        <w:rPr>
          <w:rFonts w:asciiTheme="minorHAnsi" w:hAnsiTheme="minorHAnsi" w:cstheme="minorHAnsi"/>
          <w:iCs/>
        </w:rPr>
      </w:pPr>
      <w:r w:rsidRPr="00DA5613">
        <w:rPr>
          <w:rFonts w:asciiTheme="minorHAnsi" w:hAnsiTheme="minorHAnsi" w:cstheme="minorHAnsi"/>
          <w:i/>
        </w:rPr>
        <w:t>Va. Office for Prot. &amp; Advocacy v. Stewart</w:t>
      </w:r>
      <w:r w:rsidRPr="00DA5613">
        <w:rPr>
          <w:rFonts w:asciiTheme="minorHAnsi" w:hAnsiTheme="minorHAnsi" w:cstheme="minorHAnsi"/>
          <w:iCs/>
        </w:rPr>
        <w:t xml:space="preserve">, 563 U.S. 247, 254–55 (2011) (quoting </w:t>
      </w:r>
      <w:r w:rsidRPr="00DA5613">
        <w:rPr>
          <w:rFonts w:asciiTheme="minorHAnsi" w:hAnsiTheme="minorHAnsi" w:cstheme="minorHAnsi"/>
          <w:i/>
        </w:rPr>
        <w:t>Young</w:t>
      </w:r>
      <w:r w:rsidRPr="00DA5613">
        <w:rPr>
          <w:rFonts w:asciiTheme="minorHAnsi" w:hAnsiTheme="minorHAnsi" w:cstheme="minorHAnsi"/>
          <w:iCs/>
        </w:rPr>
        <w:t>, 209 U.S. at 159–60).</w:t>
      </w:r>
      <w:r w:rsidR="00512085">
        <w:rPr>
          <w:rFonts w:asciiTheme="minorHAnsi" w:hAnsiTheme="minorHAnsi" w:cstheme="minorHAnsi"/>
          <w:iCs/>
        </w:rPr>
        <w:t xml:space="preserve">  </w:t>
      </w:r>
      <w:r w:rsidR="00046115">
        <w:rPr>
          <w:rFonts w:asciiTheme="minorHAnsi" w:hAnsiTheme="minorHAnsi" w:cstheme="minorHAnsi"/>
          <w:iCs/>
        </w:rPr>
        <w:t>By definition, t</w:t>
      </w:r>
      <w:r w:rsidR="00512085">
        <w:rPr>
          <w:rFonts w:asciiTheme="minorHAnsi" w:hAnsiTheme="minorHAnsi" w:cstheme="minorHAnsi"/>
          <w:iCs/>
        </w:rPr>
        <w:t xml:space="preserve">his principle </w:t>
      </w:r>
      <w:r w:rsidR="00046115">
        <w:rPr>
          <w:rFonts w:asciiTheme="minorHAnsi" w:hAnsiTheme="minorHAnsi" w:cstheme="minorHAnsi"/>
          <w:iCs/>
        </w:rPr>
        <w:t xml:space="preserve">turns on the </w:t>
      </w:r>
      <w:r w:rsidR="00046115" w:rsidRPr="00046115">
        <w:rPr>
          <w:rFonts w:asciiTheme="minorHAnsi" w:hAnsiTheme="minorHAnsi" w:cstheme="minorHAnsi"/>
          <w:b/>
          <w:bCs/>
          <w:i/>
        </w:rPr>
        <w:t>possibility</w:t>
      </w:r>
      <w:r w:rsidR="00046115">
        <w:rPr>
          <w:rFonts w:asciiTheme="minorHAnsi" w:hAnsiTheme="minorHAnsi" w:cstheme="minorHAnsi"/>
          <w:iCs/>
        </w:rPr>
        <w:t xml:space="preserve"> and </w:t>
      </w:r>
      <w:r w:rsidR="00046115" w:rsidRPr="00046115">
        <w:rPr>
          <w:rFonts w:asciiTheme="minorHAnsi" w:hAnsiTheme="minorHAnsi" w:cstheme="minorHAnsi"/>
          <w:b/>
          <w:bCs/>
          <w:i/>
        </w:rPr>
        <w:t>fact</w:t>
      </w:r>
      <w:r w:rsidR="00046115">
        <w:rPr>
          <w:rFonts w:asciiTheme="minorHAnsi" w:hAnsiTheme="minorHAnsi" w:cstheme="minorHAnsi"/>
          <w:iCs/>
        </w:rPr>
        <w:t xml:space="preserve"> of the official’s enforcement powers, not on any technical question about the powers’ source.  </w:t>
      </w:r>
    </w:p>
    <w:p w14:paraId="3F203688" w14:textId="60364D88" w:rsidR="004130C6" w:rsidRDefault="004130C6" w:rsidP="00046115">
      <w:pPr>
        <w:pStyle w:val="NoSpacing"/>
        <w:spacing w:line="480" w:lineRule="auto"/>
        <w:rPr>
          <w:rFonts w:asciiTheme="minorHAnsi" w:hAnsiTheme="minorHAnsi" w:cstheme="minorHAnsi"/>
          <w:iCs/>
        </w:rPr>
      </w:pPr>
      <w:r w:rsidRPr="00DA5613">
        <w:rPr>
          <w:rFonts w:asciiTheme="minorHAnsi" w:hAnsiTheme="minorHAnsi" w:cstheme="minorHAnsi"/>
          <w:iCs/>
        </w:rPr>
        <w:tab/>
      </w:r>
      <w:r w:rsidR="00046115">
        <w:rPr>
          <w:rFonts w:asciiTheme="minorHAnsi" w:hAnsiTheme="minorHAnsi" w:cstheme="minorHAnsi"/>
          <w:iCs/>
        </w:rPr>
        <w:t xml:space="preserve">This </w:t>
      </w:r>
      <w:r w:rsidRPr="00DA5613">
        <w:rPr>
          <w:rFonts w:asciiTheme="minorHAnsi" w:hAnsiTheme="minorHAnsi" w:cstheme="minorHAnsi"/>
          <w:iCs/>
        </w:rPr>
        <w:t xml:space="preserve">is not to say there is never a reason to </w:t>
      </w:r>
      <w:r w:rsidR="00046115">
        <w:rPr>
          <w:rFonts w:asciiTheme="minorHAnsi" w:hAnsiTheme="minorHAnsi" w:cstheme="minorHAnsi"/>
          <w:iCs/>
        </w:rPr>
        <w:t xml:space="preserve">ask whether a state official has enforcement power over a challenged law.  </w:t>
      </w:r>
      <w:r w:rsidRPr="00DA5613">
        <w:rPr>
          <w:rFonts w:asciiTheme="minorHAnsi" w:hAnsiTheme="minorHAnsi" w:cstheme="minorHAnsi"/>
          <w:iCs/>
        </w:rPr>
        <w:t xml:space="preserve"> </w:t>
      </w:r>
      <w:r w:rsidR="00046115">
        <w:rPr>
          <w:rFonts w:asciiTheme="minorHAnsi" w:hAnsiTheme="minorHAnsi" w:cstheme="minorHAnsi"/>
          <w:iCs/>
        </w:rPr>
        <w:t xml:space="preserve">In this case, however, Defendants themselves have answered that question.  </w:t>
      </w:r>
      <w:r w:rsidRPr="00DA5613">
        <w:rPr>
          <w:rFonts w:asciiTheme="minorHAnsi" w:hAnsiTheme="minorHAnsi" w:cstheme="minorHAnsi"/>
          <w:iCs/>
        </w:rPr>
        <w:t xml:space="preserve">Defendants’ ongoing, active enforcement of GA-38’s mask provisions against school districts is a sufficient connection to the enforcement of GA-38 </w:t>
      </w:r>
      <w:r w:rsidR="00046115">
        <w:rPr>
          <w:rFonts w:asciiTheme="minorHAnsi" w:hAnsiTheme="minorHAnsi" w:cstheme="minorHAnsi"/>
          <w:iCs/>
        </w:rPr>
        <w:t xml:space="preserve">to defeat any claim of sovereign immunity in this case.  </w:t>
      </w:r>
    </w:p>
    <w:p w14:paraId="2193361F" w14:textId="3BC658BE" w:rsidR="004130C6" w:rsidRPr="00DA5613" w:rsidRDefault="004130C6" w:rsidP="00027C63">
      <w:pPr>
        <w:pStyle w:val="NoSpacing"/>
        <w:spacing w:line="480" w:lineRule="auto"/>
        <w:rPr>
          <w:rFonts w:asciiTheme="minorHAnsi" w:hAnsiTheme="minorHAnsi" w:cstheme="minorHAnsi"/>
          <w:iCs/>
        </w:rPr>
      </w:pPr>
      <w:r w:rsidRPr="00DA5613">
        <w:rPr>
          <w:rFonts w:asciiTheme="minorHAnsi" w:hAnsiTheme="minorHAnsi" w:cstheme="minorHAnsi"/>
          <w:iCs/>
        </w:rPr>
        <w:tab/>
      </w:r>
      <w:r w:rsidR="00046115">
        <w:rPr>
          <w:rFonts w:asciiTheme="minorHAnsi" w:hAnsiTheme="minorHAnsi" w:cstheme="minorHAnsi"/>
          <w:iCs/>
        </w:rPr>
        <w:t xml:space="preserve">In any event, Attorney General Paxton and </w:t>
      </w:r>
      <w:r w:rsidRPr="00DA5613">
        <w:rPr>
          <w:rFonts w:asciiTheme="minorHAnsi" w:hAnsiTheme="minorHAnsi" w:cstheme="minorHAnsi"/>
          <w:iCs/>
        </w:rPr>
        <w:t xml:space="preserve">Commissioner Morath </w:t>
      </w:r>
      <w:r w:rsidR="00046115" w:rsidRPr="00046115">
        <w:rPr>
          <w:rFonts w:asciiTheme="minorHAnsi" w:hAnsiTheme="minorHAnsi" w:cstheme="minorHAnsi"/>
          <w:b/>
          <w:bCs/>
          <w:i/>
        </w:rPr>
        <w:t xml:space="preserve">do </w:t>
      </w:r>
      <w:r w:rsidRPr="00DA5613">
        <w:rPr>
          <w:rFonts w:asciiTheme="minorHAnsi" w:hAnsiTheme="minorHAnsi" w:cstheme="minorHAnsi"/>
          <w:iCs/>
        </w:rPr>
        <w:t>have authority</w:t>
      </w:r>
      <w:r w:rsidR="00046115">
        <w:rPr>
          <w:rFonts w:asciiTheme="minorHAnsi" w:hAnsiTheme="minorHAnsi" w:cstheme="minorHAnsi"/>
          <w:iCs/>
        </w:rPr>
        <w:t xml:space="preserve"> under Texas </w:t>
      </w:r>
      <w:r w:rsidR="000F412D">
        <w:rPr>
          <w:rFonts w:asciiTheme="minorHAnsi" w:hAnsiTheme="minorHAnsi" w:cstheme="minorHAnsi"/>
          <w:iCs/>
        </w:rPr>
        <w:t>l</w:t>
      </w:r>
      <w:r w:rsidR="00046115">
        <w:rPr>
          <w:rFonts w:asciiTheme="minorHAnsi" w:hAnsiTheme="minorHAnsi" w:cstheme="minorHAnsi"/>
          <w:iCs/>
        </w:rPr>
        <w:t>aw</w:t>
      </w:r>
      <w:r w:rsidRPr="00DA5613">
        <w:rPr>
          <w:rFonts w:asciiTheme="minorHAnsi" w:hAnsiTheme="minorHAnsi" w:cstheme="minorHAnsi"/>
          <w:iCs/>
        </w:rPr>
        <w:t xml:space="preserve"> to enforce GA-38.</w:t>
      </w:r>
      <w:r w:rsidR="00046115">
        <w:rPr>
          <w:rFonts w:asciiTheme="minorHAnsi" w:hAnsiTheme="minorHAnsi" w:cstheme="minorHAnsi"/>
          <w:iCs/>
        </w:rPr>
        <w:t xml:space="preserve">  </w:t>
      </w:r>
      <w:r w:rsidR="00027C63">
        <w:rPr>
          <w:rFonts w:asciiTheme="minorHAnsi" w:hAnsiTheme="minorHAnsi" w:cstheme="minorHAnsi"/>
          <w:iCs/>
        </w:rPr>
        <w:t xml:space="preserve">Like the attorney general in </w:t>
      </w:r>
      <w:r w:rsidR="00027C63" w:rsidRPr="00027C63">
        <w:rPr>
          <w:rFonts w:asciiTheme="minorHAnsi" w:hAnsiTheme="minorHAnsi" w:cstheme="minorHAnsi"/>
          <w:i/>
        </w:rPr>
        <w:t>Ex parte Young</w:t>
      </w:r>
      <w:r w:rsidR="00027C63">
        <w:rPr>
          <w:rFonts w:asciiTheme="minorHAnsi" w:hAnsiTheme="minorHAnsi" w:cstheme="minorHAnsi"/>
          <w:iCs/>
        </w:rPr>
        <w:t xml:space="preserve"> itself (</w:t>
      </w:r>
      <w:r w:rsidR="00046115">
        <w:rPr>
          <w:rFonts w:asciiTheme="minorHAnsi" w:hAnsiTheme="minorHAnsi" w:cstheme="minorHAnsi"/>
          <w:iCs/>
        </w:rPr>
        <w:t>209 U.S. at 160</w:t>
      </w:r>
      <w:r w:rsidR="00027C63">
        <w:rPr>
          <w:rFonts w:asciiTheme="minorHAnsi" w:hAnsiTheme="minorHAnsi" w:cstheme="minorHAnsi"/>
          <w:iCs/>
        </w:rPr>
        <w:t xml:space="preserve">), </w:t>
      </w:r>
      <w:r w:rsidRPr="00DA5613">
        <w:rPr>
          <w:rFonts w:asciiTheme="minorHAnsi" w:hAnsiTheme="minorHAnsi" w:cstheme="minorHAnsi"/>
          <w:iCs/>
        </w:rPr>
        <w:t>“</w:t>
      </w:r>
      <w:r w:rsidR="00027C63">
        <w:rPr>
          <w:rFonts w:asciiTheme="minorHAnsi" w:hAnsiTheme="minorHAnsi" w:cstheme="minorHAnsi"/>
          <w:iCs/>
        </w:rPr>
        <w:t>[t]</w:t>
      </w:r>
      <w:r w:rsidRPr="00DA5613">
        <w:rPr>
          <w:rFonts w:asciiTheme="minorHAnsi" w:hAnsiTheme="minorHAnsi" w:cstheme="minorHAnsi"/>
          <w:iCs/>
        </w:rPr>
        <w:t>he Attorney General [of Texas] is the chief law officer of the State, and it is incumbent upon him to institute in the proper courts proceedings to enforce or protect any right of the public that is violated</w:t>
      </w:r>
      <w:r w:rsidR="00DE6B57">
        <w:rPr>
          <w:rFonts w:asciiTheme="minorHAnsi" w:hAnsiTheme="minorHAnsi" w:cstheme="minorHAnsi"/>
          <w:iCs/>
        </w:rPr>
        <w:t xml:space="preserve">.”  </w:t>
      </w:r>
      <w:r w:rsidRPr="00DA5613">
        <w:rPr>
          <w:rFonts w:asciiTheme="minorHAnsi" w:hAnsiTheme="minorHAnsi" w:cstheme="minorHAnsi"/>
          <w:i/>
        </w:rPr>
        <w:t>Agey v. Am. Liberty Pipe Line Co.</w:t>
      </w:r>
      <w:r w:rsidRPr="00DA5613">
        <w:rPr>
          <w:rFonts w:asciiTheme="minorHAnsi" w:hAnsiTheme="minorHAnsi" w:cstheme="minorHAnsi"/>
          <w:iCs/>
        </w:rPr>
        <w:t xml:space="preserve">, 172 S.W.2d 972, 974 (Tex. 1943).  </w:t>
      </w:r>
      <w:r w:rsidR="00027C63">
        <w:rPr>
          <w:rFonts w:asciiTheme="minorHAnsi" w:hAnsiTheme="minorHAnsi" w:cstheme="minorHAnsi"/>
          <w:iCs/>
        </w:rPr>
        <w:t>E</w:t>
      </w:r>
      <w:r w:rsidRPr="00DA5613">
        <w:rPr>
          <w:rFonts w:asciiTheme="minorHAnsi" w:hAnsiTheme="minorHAnsi" w:cstheme="minorHAnsi"/>
          <w:iCs/>
        </w:rPr>
        <w:t>nforcing rights of the public is exactly what the Attorney General purports to be doing in his lawsuits against school districts</w:t>
      </w:r>
      <w:r w:rsidR="00027C63">
        <w:rPr>
          <w:rFonts w:asciiTheme="minorHAnsi" w:hAnsiTheme="minorHAnsi" w:cstheme="minorHAnsi"/>
          <w:iCs/>
        </w:rPr>
        <w:t xml:space="preserve">.  And by statute, </w:t>
      </w:r>
      <w:r w:rsidRPr="00DA5613">
        <w:rPr>
          <w:rFonts w:asciiTheme="minorHAnsi" w:hAnsiTheme="minorHAnsi" w:cstheme="minorHAnsi"/>
          <w:iCs/>
        </w:rPr>
        <w:t>Commissioner Morath “serve[s] as the educational leader of the state” and “as executive officer of the [TEA] and as executive secretary of the [Texas Board of Edu</w:t>
      </w:r>
      <w:r w:rsidR="00027C63">
        <w:rPr>
          <w:rFonts w:asciiTheme="minorHAnsi" w:hAnsiTheme="minorHAnsi" w:cstheme="minorHAnsi"/>
          <w:iCs/>
        </w:rPr>
        <w:t>c</w:t>
      </w:r>
      <w:r w:rsidRPr="00DA5613">
        <w:rPr>
          <w:rFonts w:asciiTheme="minorHAnsi" w:hAnsiTheme="minorHAnsi" w:cstheme="minorHAnsi"/>
          <w:iCs/>
        </w:rPr>
        <w:t>ation].”  Tex. Edu. Code §</w:t>
      </w:r>
      <w:r w:rsidR="00027C63">
        <w:rPr>
          <w:rFonts w:asciiTheme="minorHAnsi" w:hAnsiTheme="minorHAnsi" w:cstheme="minorHAnsi"/>
          <w:iCs/>
        </w:rPr>
        <w:t> </w:t>
      </w:r>
      <w:r w:rsidRPr="00DA5613">
        <w:rPr>
          <w:rFonts w:asciiTheme="minorHAnsi" w:hAnsiTheme="minorHAnsi" w:cstheme="minorHAnsi"/>
          <w:iCs/>
        </w:rPr>
        <w:t xml:space="preserve">7.055(b).   </w:t>
      </w:r>
      <w:r w:rsidR="00027C63">
        <w:rPr>
          <w:rFonts w:asciiTheme="minorHAnsi" w:hAnsiTheme="minorHAnsi" w:cstheme="minorHAnsi"/>
          <w:iCs/>
        </w:rPr>
        <w:t xml:space="preserve">His </w:t>
      </w:r>
      <w:r w:rsidRPr="00DA5613">
        <w:rPr>
          <w:rFonts w:asciiTheme="minorHAnsi" w:hAnsiTheme="minorHAnsi" w:cstheme="minorHAnsi"/>
          <w:iCs/>
        </w:rPr>
        <w:t xml:space="preserve">published guidance intended to “dissuade” school districts from masking purports to have been “authorized by Executive Order GA-38, which has the effect of state law.”  </w:t>
      </w:r>
      <w:r w:rsidR="00252F2F" w:rsidRPr="00252F2F">
        <w:rPr>
          <w:rFonts w:asciiTheme="minorHAnsi" w:hAnsiTheme="minorHAnsi" w:cstheme="minorHAnsi"/>
          <w:i/>
        </w:rPr>
        <w:t>See</w:t>
      </w:r>
      <w:r w:rsidR="00252F2F">
        <w:rPr>
          <w:rFonts w:asciiTheme="minorHAnsi" w:hAnsiTheme="minorHAnsi" w:cstheme="minorHAnsi"/>
          <w:iCs/>
        </w:rPr>
        <w:t xml:space="preserve"> </w:t>
      </w:r>
      <w:r w:rsidR="00252F2F" w:rsidRPr="00DA5613">
        <w:rPr>
          <w:rFonts w:asciiTheme="minorHAnsi" w:hAnsiTheme="minorHAnsi" w:cstheme="minorHAnsi"/>
        </w:rPr>
        <w:t xml:space="preserve">Ex. </w:t>
      </w:r>
      <w:r w:rsidR="00252F2F">
        <w:rPr>
          <w:rFonts w:asciiTheme="minorHAnsi" w:hAnsiTheme="minorHAnsi" w:cstheme="minorHAnsi"/>
        </w:rPr>
        <w:t>160</w:t>
      </w:r>
      <w:r w:rsidR="00252F2F" w:rsidRPr="00DA5613">
        <w:rPr>
          <w:rFonts w:asciiTheme="minorHAnsi" w:hAnsiTheme="minorHAnsi" w:cstheme="minorHAnsi"/>
        </w:rPr>
        <w:t xml:space="preserve"> at 39:16-44:17 (A. Jernigan Depo)</w:t>
      </w:r>
      <w:r w:rsidR="00252F2F">
        <w:rPr>
          <w:rFonts w:asciiTheme="minorHAnsi" w:hAnsiTheme="minorHAnsi" w:cstheme="minorHAnsi"/>
        </w:rPr>
        <w:t>; Ex. 2 (TEA Public Health Guidance - September 17)</w:t>
      </w:r>
      <w:r w:rsidR="00027C63">
        <w:rPr>
          <w:rFonts w:asciiTheme="minorHAnsi" w:hAnsiTheme="minorHAnsi" w:cstheme="minorHAnsi"/>
          <w:i/>
        </w:rPr>
        <w:t xml:space="preserve">.  </w:t>
      </w:r>
      <w:r w:rsidRPr="00DA5613">
        <w:rPr>
          <w:rFonts w:asciiTheme="minorHAnsi" w:hAnsiTheme="minorHAnsi" w:cstheme="minorHAnsi"/>
          <w:iCs/>
        </w:rPr>
        <w:t>According to the TEA</w:t>
      </w:r>
      <w:r w:rsidR="00027C63">
        <w:rPr>
          <w:rFonts w:asciiTheme="minorHAnsi" w:hAnsiTheme="minorHAnsi" w:cstheme="minorHAnsi"/>
          <w:iCs/>
        </w:rPr>
        <w:t xml:space="preserve"> itself, then, it has authority to issue guidance under GA-38.  </w:t>
      </w:r>
    </w:p>
    <w:p w14:paraId="278FFA69" w14:textId="15DF7409" w:rsidR="004130C6" w:rsidRPr="00DA5613" w:rsidRDefault="004130C6" w:rsidP="00545E56">
      <w:pPr>
        <w:pStyle w:val="NoSpacing"/>
        <w:spacing w:line="480" w:lineRule="auto"/>
        <w:rPr>
          <w:rFonts w:asciiTheme="minorHAnsi" w:hAnsiTheme="minorHAnsi" w:cstheme="minorHAnsi"/>
          <w:b/>
          <w:bCs/>
          <w:iCs/>
        </w:rPr>
      </w:pPr>
      <w:r w:rsidRPr="00DA5613">
        <w:rPr>
          <w:rFonts w:asciiTheme="minorHAnsi" w:hAnsiTheme="minorHAnsi" w:cstheme="minorHAnsi"/>
          <w:iCs/>
        </w:rPr>
        <w:tab/>
      </w:r>
      <w:r w:rsidR="00027C63">
        <w:rPr>
          <w:rFonts w:asciiTheme="minorHAnsi" w:hAnsiTheme="minorHAnsi" w:cstheme="minorHAnsi"/>
          <w:iCs/>
        </w:rPr>
        <w:t xml:space="preserve">In short, </w:t>
      </w:r>
      <w:r w:rsidRPr="00DA5613">
        <w:rPr>
          <w:rFonts w:asciiTheme="minorHAnsi" w:hAnsiTheme="minorHAnsi" w:cstheme="minorHAnsi"/>
          <w:i/>
        </w:rPr>
        <w:t xml:space="preserve">Ex parte Young </w:t>
      </w:r>
      <w:r w:rsidRPr="00DA5613">
        <w:rPr>
          <w:rFonts w:asciiTheme="minorHAnsi" w:hAnsiTheme="minorHAnsi" w:cstheme="minorHAnsi"/>
          <w:iCs/>
        </w:rPr>
        <w:t>provides the Court with all the authority it needs to reject Defendants’ sovereign</w:t>
      </w:r>
      <w:r w:rsidR="00027C63">
        <w:rPr>
          <w:rFonts w:asciiTheme="minorHAnsi" w:hAnsiTheme="minorHAnsi" w:cstheme="minorHAnsi"/>
          <w:iCs/>
        </w:rPr>
        <w:t xml:space="preserve"> </w:t>
      </w:r>
      <w:r w:rsidRPr="00DA5613">
        <w:rPr>
          <w:rFonts w:asciiTheme="minorHAnsi" w:hAnsiTheme="minorHAnsi" w:cstheme="minorHAnsi"/>
          <w:iCs/>
        </w:rPr>
        <w:t xml:space="preserve">immunity defense.  Defendants’ active enforcement of GA-38’s mask provisions against school districts </w:t>
      </w:r>
      <w:r w:rsidR="00027C63">
        <w:rPr>
          <w:rFonts w:asciiTheme="minorHAnsi" w:hAnsiTheme="minorHAnsi" w:cstheme="minorHAnsi"/>
          <w:iCs/>
        </w:rPr>
        <w:t xml:space="preserve">is enough on its own to show </w:t>
      </w:r>
      <w:r w:rsidRPr="00DA5613">
        <w:rPr>
          <w:rFonts w:asciiTheme="minorHAnsi" w:hAnsiTheme="minorHAnsi" w:cstheme="minorHAnsi"/>
          <w:iCs/>
        </w:rPr>
        <w:t xml:space="preserve">that Defendants are sufficiently connected to the enforcement of GA-38 </w:t>
      </w:r>
      <w:r w:rsidR="00027C63">
        <w:rPr>
          <w:rFonts w:asciiTheme="minorHAnsi" w:hAnsiTheme="minorHAnsi" w:cstheme="minorHAnsi"/>
          <w:iCs/>
        </w:rPr>
        <w:t xml:space="preserve">to bring them within </w:t>
      </w:r>
      <w:r w:rsidRPr="00DA5613">
        <w:rPr>
          <w:rFonts w:asciiTheme="minorHAnsi" w:hAnsiTheme="minorHAnsi" w:cstheme="minorHAnsi"/>
          <w:i/>
        </w:rPr>
        <w:t>Ex parte Young</w:t>
      </w:r>
      <w:r w:rsidRPr="00DA5613">
        <w:rPr>
          <w:rFonts w:asciiTheme="minorHAnsi" w:hAnsiTheme="minorHAnsi" w:cstheme="minorHAnsi"/>
          <w:iCs/>
        </w:rPr>
        <w:t xml:space="preserve">.  </w:t>
      </w:r>
      <w:r w:rsidR="004A5EDB">
        <w:rPr>
          <w:rFonts w:asciiTheme="minorHAnsi" w:hAnsiTheme="minorHAnsi" w:cstheme="minorHAnsi"/>
          <w:iCs/>
        </w:rPr>
        <w:t>And their official roles under Texas law and statutes underscore that connection.  On this issue, t</w:t>
      </w:r>
      <w:r w:rsidRPr="00DA5613">
        <w:rPr>
          <w:rFonts w:asciiTheme="minorHAnsi" w:hAnsiTheme="minorHAnsi" w:cstheme="minorHAnsi"/>
          <w:iCs/>
        </w:rPr>
        <w:t>h</w:t>
      </w:r>
      <w:r w:rsidR="004A5EDB">
        <w:rPr>
          <w:rFonts w:asciiTheme="minorHAnsi" w:hAnsiTheme="minorHAnsi" w:cstheme="minorHAnsi"/>
          <w:iCs/>
        </w:rPr>
        <w:t>e</w:t>
      </w:r>
      <w:r w:rsidRPr="00DA5613">
        <w:rPr>
          <w:rFonts w:asciiTheme="minorHAnsi" w:hAnsiTheme="minorHAnsi" w:cstheme="minorHAnsi"/>
          <w:iCs/>
        </w:rPr>
        <w:t xml:space="preserve"> Court need look no further than </w:t>
      </w:r>
      <w:r w:rsidRPr="00DA5613">
        <w:rPr>
          <w:rFonts w:asciiTheme="minorHAnsi" w:hAnsiTheme="minorHAnsi" w:cstheme="minorHAnsi"/>
          <w:i/>
        </w:rPr>
        <w:t>Ex parte Young</w:t>
      </w:r>
      <w:r w:rsidRPr="00DA5613">
        <w:rPr>
          <w:rFonts w:asciiTheme="minorHAnsi" w:hAnsiTheme="minorHAnsi" w:cstheme="minorHAnsi"/>
          <w:iCs/>
        </w:rPr>
        <w:t xml:space="preserve"> </w:t>
      </w:r>
      <w:r w:rsidR="004A5EDB">
        <w:rPr>
          <w:rFonts w:asciiTheme="minorHAnsi" w:hAnsiTheme="minorHAnsi" w:cstheme="minorHAnsi"/>
          <w:iCs/>
        </w:rPr>
        <w:t xml:space="preserve">itself.  </w:t>
      </w:r>
    </w:p>
    <w:p w14:paraId="59865BFE" w14:textId="5DF29F8D" w:rsidR="004130C6" w:rsidRPr="00DA5613" w:rsidRDefault="004A5EDB" w:rsidP="006A5965">
      <w:pPr>
        <w:pStyle w:val="pleadingtls5"/>
      </w:pPr>
      <w:bookmarkStart w:id="129" w:name="_Toc83814461"/>
      <w:bookmarkStart w:id="130" w:name="_Toc83846177"/>
      <w:r>
        <w:t>Fifth Circuit cases do not and cannot require a different result.</w:t>
      </w:r>
      <w:bookmarkEnd w:id="129"/>
      <w:bookmarkEnd w:id="130"/>
      <w:r>
        <w:t xml:space="preserve">  </w:t>
      </w:r>
    </w:p>
    <w:p w14:paraId="256D38B0" w14:textId="4FEEE6BE" w:rsidR="00200849" w:rsidRPr="00DA5613" w:rsidRDefault="00200849" w:rsidP="00200849">
      <w:pPr>
        <w:pStyle w:val="NoSpacing"/>
        <w:spacing w:line="480" w:lineRule="auto"/>
        <w:ind w:firstLine="720"/>
        <w:rPr>
          <w:rFonts w:asciiTheme="minorHAnsi" w:hAnsiTheme="minorHAnsi" w:cstheme="minorHAnsi"/>
          <w:b/>
          <w:bCs/>
        </w:rPr>
      </w:pPr>
      <w:r>
        <w:rPr>
          <w:rFonts w:asciiTheme="minorHAnsi" w:hAnsiTheme="minorHAnsi" w:cstheme="minorHAnsi"/>
        </w:rPr>
        <w:t xml:space="preserve">Contrary to Defendants’ contention, the Fifth Circuit’s cases do not require a different result.  Defendants have not cited a single case in which the Fifth Circuit has declined to apply </w:t>
      </w:r>
      <w:r w:rsidRPr="00D857CF">
        <w:rPr>
          <w:rFonts w:asciiTheme="minorHAnsi" w:hAnsiTheme="minorHAnsi" w:cstheme="minorHAnsi"/>
          <w:i/>
          <w:iCs/>
        </w:rPr>
        <w:t>Ex parte Young</w:t>
      </w:r>
      <w:r>
        <w:rPr>
          <w:rFonts w:asciiTheme="minorHAnsi" w:hAnsiTheme="minorHAnsi" w:cstheme="minorHAnsi"/>
        </w:rPr>
        <w:t xml:space="preserve"> to a state official who is actively engaged in enforcing the challenged law.  </w:t>
      </w:r>
      <w:r w:rsidRPr="00DA5613">
        <w:rPr>
          <w:rFonts w:asciiTheme="minorHAnsi" w:hAnsiTheme="minorHAnsi" w:cstheme="minorHAnsi"/>
        </w:rPr>
        <w:t xml:space="preserve">To the extent </w:t>
      </w:r>
      <w:r>
        <w:rPr>
          <w:rFonts w:asciiTheme="minorHAnsi" w:hAnsiTheme="minorHAnsi" w:cstheme="minorHAnsi"/>
        </w:rPr>
        <w:t xml:space="preserve">certain </w:t>
      </w:r>
      <w:r w:rsidRPr="00DA5613">
        <w:rPr>
          <w:rFonts w:asciiTheme="minorHAnsi" w:hAnsiTheme="minorHAnsi" w:cstheme="minorHAnsi"/>
        </w:rPr>
        <w:t xml:space="preserve">Fifth Circuit </w:t>
      </w:r>
      <w:r>
        <w:rPr>
          <w:rFonts w:asciiTheme="minorHAnsi" w:hAnsiTheme="minorHAnsi" w:cstheme="minorHAnsi"/>
        </w:rPr>
        <w:t xml:space="preserve">panels have suggested a requirement that the challenged law specifically charge the official with enforcement, they have done so only where the official was </w:t>
      </w:r>
      <w:r w:rsidRPr="00200849">
        <w:rPr>
          <w:rFonts w:asciiTheme="minorHAnsi" w:hAnsiTheme="minorHAnsi" w:cstheme="minorHAnsi"/>
          <w:b/>
          <w:bCs/>
          <w:i/>
          <w:iCs/>
        </w:rPr>
        <w:t>not</w:t>
      </w:r>
      <w:r>
        <w:rPr>
          <w:rFonts w:asciiTheme="minorHAnsi" w:hAnsiTheme="minorHAnsi" w:cstheme="minorHAnsi"/>
        </w:rPr>
        <w:t xml:space="preserve"> actively </w:t>
      </w:r>
      <w:r w:rsidRPr="00200849">
        <w:rPr>
          <w:rFonts w:asciiTheme="minorHAnsi" w:hAnsiTheme="minorHAnsi" w:cstheme="minorHAnsi"/>
        </w:rPr>
        <w:t>engaged</w:t>
      </w:r>
      <w:r>
        <w:rPr>
          <w:rFonts w:asciiTheme="minorHAnsi" w:hAnsiTheme="minorHAnsi" w:cstheme="minorHAnsi"/>
        </w:rPr>
        <w:t xml:space="preserve"> in </w:t>
      </w:r>
      <w:r w:rsidRPr="00DA5613">
        <w:rPr>
          <w:rFonts w:asciiTheme="minorHAnsi" w:hAnsiTheme="minorHAnsi" w:cstheme="minorHAnsi"/>
        </w:rPr>
        <w:t>enforcement.</w:t>
      </w:r>
      <w:r>
        <w:rPr>
          <w:rFonts w:asciiTheme="minorHAnsi" w:hAnsiTheme="minorHAnsi" w:cstheme="minorHAnsi"/>
        </w:rPr>
        <w:t xml:space="preserve">  Those decisions do not and could not undermine the explicit holding of </w:t>
      </w:r>
      <w:r w:rsidRPr="00A44032">
        <w:rPr>
          <w:rFonts w:asciiTheme="minorHAnsi" w:hAnsiTheme="minorHAnsi" w:cstheme="minorHAnsi"/>
          <w:i/>
          <w:iCs/>
        </w:rPr>
        <w:t>Ex parte Young</w:t>
      </w:r>
      <w:r>
        <w:rPr>
          <w:rFonts w:asciiTheme="minorHAnsi" w:hAnsiTheme="minorHAnsi" w:cstheme="minorHAnsi"/>
          <w:i/>
          <w:iCs/>
        </w:rPr>
        <w:t xml:space="preserve"> </w:t>
      </w:r>
      <w:r w:rsidRPr="00D857CF">
        <w:rPr>
          <w:rFonts w:asciiTheme="minorHAnsi" w:hAnsiTheme="minorHAnsi" w:cstheme="minorHAnsi"/>
        </w:rPr>
        <w:t>itself</w:t>
      </w:r>
      <w:r>
        <w:rPr>
          <w:rFonts w:asciiTheme="minorHAnsi" w:hAnsiTheme="minorHAnsi" w:cstheme="minorHAnsi"/>
        </w:rPr>
        <w:t>.</w:t>
      </w:r>
      <w:r w:rsidRPr="00DA5613">
        <w:rPr>
          <w:rFonts w:asciiTheme="minorHAnsi" w:hAnsiTheme="minorHAnsi" w:cstheme="minorHAnsi"/>
        </w:rPr>
        <w:t xml:space="preserve">  </w:t>
      </w:r>
      <w:r>
        <w:rPr>
          <w:rFonts w:asciiTheme="minorHAnsi" w:hAnsiTheme="minorHAnsi" w:cstheme="minorHAnsi"/>
        </w:rPr>
        <w:t xml:space="preserve"> </w:t>
      </w:r>
    </w:p>
    <w:p w14:paraId="6A2486AF" w14:textId="77777777" w:rsidR="00200849" w:rsidRPr="00DA5613" w:rsidRDefault="00200849" w:rsidP="00200849">
      <w:pPr>
        <w:pStyle w:val="NoSpacing"/>
        <w:spacing w:line="480" w:lineRule="auto"/>
        <w:ind w:firstLine="720"/>
        <w:rPr>
          <w:rFonts w:asciiTheme="minorHAnsi" w:hAnsiTheme="minorHAnsi" w:cstheme="minorHAnsi"/>
        </w:rPr>
      </w:pPr>
      <w:r>
        <w:rPr>
          <w:rFonts w:asciiTheme="minorHAnsi" w:hAnsiTheme="minorHAnsi" w:cstheme="minorHAnsi"/>
        </w:rPr>
        <w:t xml:space="preserve">Where a state official is actively engaged in enforcement activity, the Fifth Circuit has consistently applied </w:t>
      </w:r>
      <w:r w:rsidRPr="00976ECB">
        <w:rPr>
          <w:rFonts w:asciiTheme="minorHAnsi" w:hAnsiTheme="minorHAnsi" w:cstheme="minorHAnsi"/>
          <w:i/>
          <w:iCs/>
        </w:rPr>
        <w:t>Ex parte Young</w:t>
      </w:r>
      <w:r>
        <w:rPr>
          <w:rFonts w:asciiTheme="minorHAnsi" w:hAnsiTheme="minorHAnsi" w:cstheme="minorHAnsi"/>
        </w:rPr>
        <w:t xml:space="preserve">.  </w:t>
      </w:r>
      <w:r w:rsidRPr="00976ECB">
        <w:rPr>
          <w:rFonts w:asciiTheme="minorHAnsi" w:hAnsiTheme="minorHAnsi" w:cstheme="minorHAnsi"/>
          <w:i/>
          <w:iCs/>
        </w:rPr>
        <w:t>See</w:t>
      </w:r>
      <w:r w:rsidRPr="00DA5613">
        <w:rPr>
          <w:rFonts w:asciiTheme="minorHAnsi" w:hAnsiTheme="minorHAnsi" w:cstheme="minorHAnsi"/>
        </w:rPr>
        <w:t xml:space="preserve"> </w:t>
      </w:r>
      <w:r w:rsidRPr="00DA5613">
        <w:rPr>
          <w:rFonts w:asciiTheme="minorHAnsi" w:hAnsiTheme="minorHAnsi" w:cstheme="minorHAnsi"/>
          <w:i/>
          <w:iCs/>
        </w:rPr>
        <w:t>City of Austin v. Paxton</w:t>
      </w:r>
      <w:r w:rsidRPr="00DA5613">
        <w:rPr>
          <w:rFonts w:asciiTheme="minorHAnsi" w:hAnsiTheme="minorHAnsi" w:cstheme="minorHAnsi"/>
        </w:rPr>
        <w:t>,</w:t>
      </w:r>
      <w:r w:rsidRPr="00DA5613">
        <w:rPr>
          <w:rFonts w:asciiTheme="minorHAnsi" w:hAnsiTheme="minorHAnsi" w:cstheme="minorHAnsi"/>
          <w:i/>
          <w:iCs/>
        </w:rPr>
        <w:t xml:space="preserve"> </w:t>
      </w:r>
      <w:r w:rsidRPr="00DA5613">
        <w:rPr>
          <w:rFonts w:asciiTheme="minorHAnsi" w:hAnsiTheme="minorHAnsi" w:cstheme="minorHAnsi"/>
        </w:rPr>
        <w:t xml:space="preserve">943 F.3d 993, 1000–01 (5th Cir. 2019) (discussing actual enforcement that incurred in three prior panel opinions that allowed application of </w:t>
      </w:r>
      <w:r w:rsidRPr="00DA5613">
        <w:rPr>
          <w:rFonts w:asciiTheme="minorHAnsi" w:hAnsiTheme="minorHAnsi" w:cstheme="minorHAnsi"/>
          <w:i/>
          <w:iCs/>
        </w:rPr>
        <w:t>Ex parte Young</w:t>
      </w:r>
      <w:r w:rsidRPr="00DA5613">
        <w:rPr>
          <w:rFonts w:asciiTheme="minorHAnsi" w:hAnsiTheme="minorHAnsi" w:cstheme="minorHAnsi"/>
        </w:rPr>
        <w:t xml:space="preserve">: </w:t>
      </w:r>
      <w:r>
        <w:rPr>
          <w:rFonts w:asciiTheme="minorHAnsi" w:hAnsiTheme="minorHAnsi" w:cstheme="minorHAnsi"/>
        </w:rPr>
        <w:t xml:space="preserve"> </w:t>
      </w:r>
      <w:r w:rsidRPr="00DA5613">
        <w:rPr>
          <w:rFonts w:asciiTheme="minorHAnsi" w:hAnsiTheme="minorHAnsi" w:cstheme="minorHAnsi"/>
          <w:i/>
          <w:iCs/>
        </w:rPr>
        <w:t>K.P. v. LeBlanc</w:t>
      </w:r>
      <w:r w:rsidRPr="00DA5613">
        <w:rPr>
          <w:rFonts w:asciiTheme="minorHAnsi" w:hAnsiTheme="minorHAnsi" w:cstheme="minorHAnsi"/>
        </w:rPr>
        <w:t xml:space="preserve">, 627 F.3d 115 (5th Cir. 2010); </w:t>
      </w:r>
      <w:r w:rsidRPr="00DA5613">
        <w:rPr>
          <w:rFonts w:asciiTheme="minorHAnsi" w:hAnsiTheme="minorHAnsi" w:cstheme="minorHAnsi"/>
          <w:i/>
          <w:iCs/>
        </w:rPr>
        <w:t>Air Evac EMS, Inc. v. Tex., Dep’t of Ins., Div. of Workers’ Comp.</w:t>
      </w:r>
      <w:r w:rsidRPr="00DA5613">
        <w:rPr>
          <w:rFonts w:asciiTheme="minorHAnsi" w:hAnsiTheme="minorHAnsi" w:cstheme="minorHAnsi"/>
        </w:rPr>
        <w:t xml:space="preserve">, 851 F.3d 507 (5th Cir. 2017); </w:t>
      </w:r>
      <w:r>
        <w:rPr>
          <w:rFonts w:asciiTheme="minorHAnsi" w:hAnsiTheme="minorHAnsi" w:cstheme="minorHAnsi"/>
        </w:rPr>
        <w:t xml:space="preserve">and </w:t>
      </w:r>
      <w:r w:rsidRPr="00DA5613">
        <w:rPr>
          <w:rFonts w:asciiTheme="minorHAnsi" w:hAnsiTheme="minorHAnsi" w:cstheme="minorHAnsi"/>
          <w:i/>
          <w:iCs/>
        </w:rPr>
        <w:t>NiGen Biotech, L.L.C. v. Paxton</w:t>
      </w:r>
      <w:r w:rsidRPr="00DA5613">
        <w:rPr>
          <w:rFonts w:asciiTheme="minorHAnsi" w:hAnsiTheme="minorHAnsi" w:cstheme="minorHAnsi"/>
        </w:rPr>
        <w:t>, 804 F.3d 389 (5th Cir. 2015)).</w:t>
      </w:r>
      <w:r>
        <w:rPr>
          <w:rFonts w:asciiTheme="minorHAnsi" w:hAnsiTheme="minorHAnsi" w:cstheme="minorHAnsi"/>
        </w:rPr>
        <w:t xml:space="preserve">  In each of these cases, the court’s analysis focused on the “active” role the defendant was taking in enforcing the statute.  </w:t>
      </w:r>
      <w:r w:rsidRPr="00976ECB">
        <w:rPr>
          <w:rFonts w:asciiTheme="minorHAnsi" w:hAnsiTheme="minorHAnsi" w:cstheme="minorHAnsi"/>
          <w:i/>
          <w:iCs/>
        </w:rPr>
        <w:t xml:space="preserve">See </w:t>
      </w:r>
      <w:r w:rsidRPr="00DA5613">
        <w:rPr>
          <w:rFonts w:asciiTheme="minorHAnsi" w:hAnsiTheme="minorHAnsi" w:cstheme="minorHAnsi"/>
          <w:i/>
          <w:iCs/>
        </w:rPr>
        <w:t>K.P.</w:t>
      </w:r>
      <w:r>
        <w:rPr>
          <w:rFonts w:asciiTheme="minorHAnsi" w:hAnsiTheme="minorHAnsi" w:cstheme="minorHAnsi"/>
        </w:rPr>
        <w:t xml:space="preserve">, 627 F.3d at </w:t>
      </w:r>
      <w:r w:rsidRPr="00DA5613">
        <w:rPr>
          <w:rFonts w:asciiTheme="minorHAnsi" w:hAnsiTheme="minorHAnsi" w:cstheme="minorHAnsi"/>
        </w:rPr>
        <w:t>125</w:t>
      </w:r>
      <w:r>
        <w:rPr>
          <w:rFonts w:asciiTheme="minorHAnsi" w:hAnsiTheme="minorHAnsi" w:cstheme="minorHAnsi"/>
        </w:rPr>
        <w:t xml:space="preserve">; </w:t>
      </w:r>
      <w:r w:rsidRPr="00DA5613">
        <w:rPr>
          <w:rFonts w:asciiTheme="minorHAnsi" w:hAnsiTheme="minorHAnsi" w:cstheme="minorHAnsi"/>
          <w:i/>
          <w:iCs/>
        </w:rPr>
        <w:t>Air Evac EMS, Inc.</w:t>
      </w:r>
      <w:r>
        <w:rPr>
          <w:rFonts w:asciiTheme="minorHAnsi" w:hAnsiTheme="minorHAnsi" w:cstheme="minorHAnsi"/>
        </w:rPr>
        <w:t xml:space="preserve">, </w:t>
      </w:r>
      <w:r w:rsidRPr="00976ECB">
        <w:rPr>
          <w:rFonts w:asciiTheme="minorHAnsi" w:hAnsiTheme="minorHAnsi" w:cstheme="minorHAnsi"/>
        </w:rPr>
        <w:t>851 F.3d at 51</w:t>
      </w:r>
      <w:r>
        <w:rPr>
          <w:rFonts w:asciiTheme="minorHAnsi" w:hAnsiTheme="minorHAnsi" w:cstheme="minorHAnsi"/>
        </w:rPr>
        <w:t>9 (</w:t>
      </w:r>
      <w:r w:rsidRPr="00DA5613">
        <w:rPr>
          <w:rFonts w:asciiTheme="minorHAnsi" w:hAnsiTheme="minorHAnsi" w:cstheme="minorHAnsi"/>
        </w:rPr>
        <w:t>“[b]etween their rate-setting authority and role in arbitrating fee disputes through the administrative process, state defendants effectively ensure the maximum-reimbursement scheme is enforced</w:t>
      </w:r>
      <w:r>
        <w:rPr>
          <w:rFonts w:asciiTheme="minorHAnsi" w:hAnsiTheme="minorHAnsi" w:cstheme="minorHAnsi"/>
        </w:rPr>
        <w:t xml:space="preserve">,” and their enforcement activities were “pervasive”); </w:t>
      </w:r>
      <w:r w:rsidRPr="00DA5613">
        <w:rPr>
          <w:rFonts w:asciiTheme="minorHAnsi" w:hAnsiTheme="minorHAnsi" w:cstheme="minorHAnsi"/>
          <w:i/>
          <w:iCs/>
        </w:rPr>
        <w:t>NiGen Biotech</w:t>
      </w:r>
      <w:r>
        <w:rPr>
          <w:rFonts w:asciiTheme="minorHAnsi" w:hAnsiTheme="minorHAnsi" w:cstheme="minorHAnsi"/>
        </w:rPr>
        <w:t>,</w:t>
      </w:r>
      <w:r w:rsidRPr="00DA5613">
        <w:rPr>
          <w:rFonts w:asciiTheme="minorHAnsi" w:hAnsiTheme="minorHAnsi" w:cstheme="minorHAnsi"/>
        </w:rPr>
        <w:t xml:space="preserve"> 804 F.3d at 392–93</w:t>
      </w:r>
      <w:r>
        <w:rPr>
          <w:rFonts w:asciiTheme="minorHAnsi" w:hAnsiTheme="minorHAnsi" w:cstheme="minorHAnsi"/>
        </w:rPr>
        <w:t xml:space="preserve"> (“</w:t>
      </w:r>
      <w:r w:rsidRPr="00DA5613">
        <w:rPr>
          <w:rFonts w:asciiTheme="minorHAnsi" w:hAnsiTheme="minorHAnsi" w:cstheme="minorHAnsi"/>
        </w:rPr>
        <w:t xml:space="preserve">the fact that Paxton sent letters threatening enforcement of the </w:t>
      </w:r>
      <w:r>
        <w:rPr>
          <w:rFonts w:asciiTheme="minorHAnsi" w:hAnsiTheme="minorHAnsi" w:cstheme="minorHAnsi"/>
        </w:rPr>
        <w:t>[challenged Act]</w:t>
      </w:r>
      <w:r w:rsidRPr="00DA5613">
        <w:rPr>
          <w:rFonts w:asciiTheme="minorHAnsi" w:hAnsiTheme="minorHAnsi" w:cstheme="minorHAnsi"/>
        </w:rPr>
        <w:t xml:space="preserve"> makes it clear that he had not only the authority to enforce the </w:t>
      </w:r>
      <w:r>
        <w:rPr>
          <w:rFonts w:asciiTheme="minorHAnsi" w:hAnsiTheme="minorHAnsi" w:cstheme="minorHAnsi"/>
        </w:rPr>
        <w:t>[Act]</w:t>
      </w:r>
      <w:r w:rsidRPr="00DA5613">
        <w:rPr>
          <w:rFonts w:asciiTheme="minorHAnsi" w:hAnsiTheme="minorHAnsi" w:cstheme="minorHAnsi"/>
        </w:rPr>
        <w:t xml:space="preserve">, but was also constraining the </w:t>
      </w:r>
      <w:r>
        <w:rPr>
          <w:rFonts w:asciiTheme="minorHAnsi" w:hAnsiTheme="minorHAnsi" w:cstheme="minorHAnsi"/>
        </w:rPr>
        <w:t>[plaintiff’s]</w:t>
      </w:r>
      <w:r w:rsidRPr="00DA5613">
        <w:rPr>
          <w:rFonts w:asciiTheme="minorHAnsi" w:hAnsiTheme="minorHAnsi" w:cstheme="minorHAnsi"/>
        </w:rPr>
        <w:t xml:space="preserve"> activities, in that it faced possible prosecution if it continued to make and distribute its products”</w:t>
      </w:r>
      <w:r>
        <w:rPr>
          <w:rFonts w:asciiTheme="minorHAnsi" w:hAnsiTheme="minorHAnsi" w:cstheme="minorHAnsi"/>
        </w:rPr>
        <w:t>).</w:t>
      </w:r>
    </w:p>
    <w:p w14:paraId="164FE41C" w14:textId="3666C7C0" w:rsidR="00200849" w:rsidRDefault="00200849" w:rsidP="00200849">
      <w:pPr>
        <w:pStyle w:val="NoSpacing"/>
        <w:spacing w:line="480" w:lineRule="auto"/>
        <w:rPr>
          <w:rFonts w:asciiTheme="minorHAnsi" w:hAnsiTheme="minorHAnsi" w:cstheme="minorHAnsi"/>
        </w:rPr>
      </w:pPr>
      <w:r w:rsidRPr="00DA5613">
        <w:rPr>
          <w:rFonts w:asciiTheme="minorHAnsi" w:hAnsiTheme="minorHAnsi" w:cstheme="minorHAnsi"/>
        </w:rPr>
        <w:tab/>
      </w:r>
      <w:r>
        <w:rPr>
          <w:rFonts w:asciiTheme="minorHAnsi" w:hAnsiTheme="minorHAnsi" w:cstheme="minorHAnsi"/>
        </w:rPr>
        <w:t xml:space="preserve">Defendants have not cited a single Fifth Circuit case that denied the application of </w:t>
      </w:r>
      <w:r w:rsidRPr="00D55ACE">
        <w:rPr>
          <w:rFonts w:asciiTheme="minorHAnsi" w:hAnsiTheme="minorHAnsi" w:cstheme="minorHAnsi"/>
          <w:i/>
          <w:iCs/>
        </w:rPr>
        <w:t>Ex parte Young</w:t>
      </w:r>
      <w:r>
        <w:rPr>
          <w:rFonts w:asciiTheme="minorHAnsi" w:hAnsiTheme="minorHAnsi" w:cstheme="minorHAnsi"/>
        </w:rPr>
        <w:t xml:space="preserve"> based on an alleged lack of “connection” to the challenged law when—as here—the defendants were actively engaged in enforcing it.   Many of these cases</w:t>
      </w:r>
      <w:r w:rsidR="00B70B66">
        <w:rPr>
          <w:rFonts w:asciiTheme="minorHAnsi" w:hAnsiTheme="minorHAnsi" w:cstheme="minorHAnsi"/>
        </w:rPr>
        <w:t xml:space="preserve"> that Defendants cite</w:t>
      </w:r>
      <w:r>
        <w:rPr>
          <w:rFonts w:asciiTheme="minorHAnsi" w:hAnsiTheme="minorHAnsi" w:cstheme="minorHAnsi"/>
        </w:rPr>
        <w:t xml:space="preserve"> did not involve active enforcement of the challenged law at all.  </w:t>
      </w:r>
      <w:r w:rsidRPr="00DE1ABB">
        <w:rPr>
          <w:rFonts w:asciiTheme="minorHAnsi" w:hAnsiTheme="minorHAnsi" w:cstheme="minorHAnsi"/>
        </w:rPr>
        <w:t>ECF No. 24, 34 (</w:t>
      </w:r>
      <w:r w:rsidRPr="003A693A">
        <w:rPr>
          <w:rFonts w:asciiTheme="minorHAnsi" w:hAnsiTheme="minorHAnsi" w:cstheme="minorHAnsi"/>
        </w:rPr>
        <w:t xml:space="preserve">citing, </w:t>
      </w:r>
      <w:r w:rsidRPr="003A693A">
        <w:rPr>
          <w:rFonts w:asciiTheme="minorHAnsi" w:hAnsiTheme="minorHAnsi" w:cstheme="minorHAnsi"/>
          <w:i/>
          <w:iCs/>
        </w:rPr>
        <w:t>e.g.</w:t>
      </w:r>
      <w:r w:rsidRPr="003A693A">
        <w:rPr>
          <w:rFonts w:asciiTheme="minorHAnsi" w:hAnsiTheme="minorHAnsi" w:cstheme="minorHAnsi"/>
        </w:rPr>
        <w:t xml:space="preserve">, </w:t>
      </w:r>
      <w:r w:rsidRPr="00E7264F">
        <w:rPr>
          <w:rFonts w:asciiTheme="minorHAnsi" w:hAnsiTheme="minorHAnsi" w:cstheme="minorHAnsi"/>
          <w:i/>
          <w:iCs/>
        </w:rPr>
        <w:t>City of Austin</w:t>
      </w:r>
      <w:r w:rsidRPr="00E7264F">
        <w:rPr>
          <w:rFonts w:asciiTheme="minorHAnsi" w:hAnsiTheme="minorHAnsi" w:cstheme="minorHAnsi"/>
        </w:rPr>
        <w:t>, 943 F.3d 993</w:t>
      </w:r>
      <w:r>
        <w:rPr>
          <w:rFonts w:asciiTheme="minorHAnsi" w:hAnsiTheme="minorHAnsi" w:cstheme="minorHAnsi"/>
        </w:rPr>
        <w:t xml:space="preserve">; </w:t>
      </w:r>
      <w:r w:rsidRPr="00DA5613">
        <w:rPr>
          <w:rFonts w:asciiTheme="minorHAnsi" w:hAnsiTheme="minorHAnsi" w:cstheme="minorHAnsi"/>
          <w:i/>
          <w:iCs/>
        </w:rPr>
        <w:t>Mi Familia Vota v. Abbott</w:t>
      </w:r>
      <w:r w:rsidRPr="00DA5613">
        <w:rPr>
          <w:rFonts w:asciiTheme="minorHAnsi" w:hAnsiTheme="minorHAnsi" w:cstheme="minorHAnsi"/>
        </w:rPr>
        <w:t xml:space="preserve">, 977 F.3d 461, 467–69 (5th Cir. 2020); </w:t>
      </w:r>
      <w:r w:rsidRPr="00DA5613">
        <w:rPr>
          <w:rFonts w:asciiTheme="minorHAnsi" w:hAnsiTheme="minorHAnsi" w:cstheme="minorHAnsi"/>
          <w:i/>
          <w:iCs/>
        </w:rPr>
        <w:t>Morris v. Livingston</w:t>
      </w:r>
      <w:r w:rsidRPr="00DA5613">
        <w:rPr>
          <w:rFonts w:asciiTheme="minorHAnsi" w:hAnsiTheme="minorHAnsi" w:cstheme="minorHAnsi"/>
        </w:rPr>
        <w:t xml:space="preserve">, 739 F.3d 740, 745–46 (5th Cir. 2014); </w:t>
      </w:r>
      <w:r w:rsidRPr="00DA5613">
        <w:rPr>
          <w:rStyle w:val="Emphasis"/>
          <w:rFonts w:asciiTheme="minorHAnsi" w:hAnsiTheme="minorHAnsi" w:cstheme="minorHAnsi"/>
          <w:color w:val="212121"/>
        </w:rPr>
        <w:t>Okpalobi v. Foster</w:t>
      </w:r>
      <w:r w:rsidRPr="00DA5613">
        <w:rPr>
          <w:rFonts w:asciiTheme="minorHAnsi" w:hAnsiTheme="minorHAnsi" w:cstheme="minorHAnsi"/>
          <w:color w:val="212121"/>
        </w:rPr>
        <w:t xml:space="preserve">, </w:t>
      </w:r>
      <w:r w:rsidRPr="00DA5613">
        <w:rPr>
          <w:rFonts w:asciiTheme="minorHAnsi" w:hAnsiTheme="minorHAnsi" w:cstheme="minorHAnsi"/>
        </w:rPr>
        <w:t>244 F.3d 405, 414–16 (5th Cir. 2001)</w:t>
      </w:r>
      <w:r>
        <w:rPr>
          <w:rFonts w:asciiTheme="minorHAnsi" w:hAnsiTheme="minorHAnsi" w:cstheme="minorHAnsi"/>
        </w:rPr>
        <w:t>)</w:t>
      </w:r>
      <w:r w:rsidRPr="00DA5613">
        <w:rPr>
          <w:rFonts w:asciiTheme="minorHAnsi" w:hAnsiTheme="minorHAnsi" w:cstheme="minorHAnsi"/>
        </w:rPr>
        <w:t xml:space="preserve">.  </w:t>
      </w:r>
      <w:r>
        <w:rPr>
          <w:rFonts w:asciiTheme="minorHAnsi" w:hAnsiTheme="minorHAnsi" w:cstheme="minorHAnsi"/>
        </w:rPr>
        <w:t xml:space="preserve">In others, the Fifth Circuit declined to apply </w:t>
      </w:r>
      <w:r w:rsidRPr="00D37687">
        <w:rPr>
          <w:rFonts w:asciiTheme="minorHAnsi" w:hAnsiTheme="minorHAnsi" w:cstheme="minorHAnsi"/>
          <w:i/>
          <w:iCs/>
        </w:rPr>
        <w:t>Ex parte Young</w:t>
      </w:r>
      <w:r>
        <w:rPr>
          <w:rFonts w:asciiTheme="minorHAnsi" w:hAnsiTheme="minorHAnsi" w:cstheme="minorHAnsi"/>
        </w:rPr>
        <w:t xml:space="preserve"> only after concluding </w:t>
      </w:r>
      <w:r w:rsidRPr="00DA5613">
        <w:rPr>
          <w:rFonts w:asciiTheme="minorHAnsi" w:hAnsiTheme="minorHAnsi" w:cstheme="minorHAnsi"/>
        </w:rPr>
        <w:t>that alleged enforcement activities were not actually enforcement</w:t>
      </w:r>
      <w:r>
        <w:rPr>
          <w:rFonts w:asciiTheme="minorHAnsi" w:hAnsiTheme="minorHAnsi" w:cstheme="minorHAnsi"/>
        </w:rPr>
        <w:t xml:space="preserve">.  </w:t>
      </w:r>
      <w:r w:rsidRPr="00DE1ABB">
        <w:rPr>
          <w:rFonts w:asciiTheme="minorHAnsi" w:hAnsiTheme="minorHAnsi" w:cstheme="minorHAnsi"/>
          <w:i/>
          <w:iCs/>
        </w:rPr>
        <w:t>See</w:t>
      </w:r>
      <w:r>
        <w:rPr>
          <w:rFonts w:asciiTheme="minorHAnsi" w:hAnsiTheme="minorHAnsi" w:cstheme="minorHAnsi"/>
        </w:rPr>
        <w:t xml:space="preserve">, </w:t>
      </w:r>
      <w:r w:rsidRPr="00DE1ABB">
        <w:rPr>
          <w:rFonts w:asciiTheme="minorHAnsi" w:hAnsiTheme="minorHAnsi" w:cstheme="minorHAnsi"/>
          <w:i/>
          <w:iCs/>
        </w:rPr>
        <w:t>e.g.</w:t>
      </w:r>
      <w:r>
        <w:rPr>
          <w:rFonts w:asciiTheme="minorHAnsi" w:hAnsiTheme="minorHAnsi" w:cstheme="minorHAnsi"/>
        </w:rPr>
        <w:t xml:space="preserve">, </w:t>
      </w:r>
      <w:r w:rsidRPr="00DA5613">
        <w:rPr>
          <w:rFonts w:asciiTheme="minorHAnsi" w:hAnsiTheme="minorHAnsi" w:cstheme="minorHAnsi"/>
          <w:i/>
          <w:iCs/>
        </w:rPr>
        <w:t>Tex. Democratic Party v. Hugh</w:t>
      </w:r>
      <w:r>
        <w:rPr>
          <w:rFonts w:asciiTheme="minorHAnsi" w:hAnsiTheme="minorHAnsi" w:cstheme="minorHAnsi"/>
          <w:i/>
          <w:iCs/>
        </w:rPr>
        <w:t>e</w:t>
      </w:r>
      <w:r w:rsidRPr="00DA5613">
        <w:rPr>
          <w:rFonts w:asciiTheme="minorHAnsi" w:hAnsiTheme="minorHAnsi" w:cstheme="minorHAnsi"/>
          <w:i/>
          <w:iCs/>
        </w:rPr>
        <w:t>s</w:t>
      </w:r>
      <w:r w:rsidRPr="00DA5613">
        <w:rPr>
          <w:rFonts w:asciiTheme="minorHAnsi" w:hAnsiTheme="minorHAnsi" w:cstheme="minorHAnsi"/>
        </w:rPr>
        <w:t>, 2021 WL 2310010, at *3 (5th Cir. June 4, 2021) (</w:t>
      </w:r>
      <w:r>
        <w:rPr>
          <w:rFonts w:asciiTheme="minorHAnsi" w:hAnsiTheme="minorHAnsi" w:cstheme="minorHAnsi"/>
        </w:rPr>
        <w:t xml:space="preserve">press release announcing a requirement </w:t>
      </w:r>
      <w:r w:rsidRPr="00DA5613">
        <w:rPr>
          <w:rFonts w:asciiTheme="minorHAnsi" w:hAnsiTheme="minorHAnsi" w:cstheme="minorHAnsi"/>
        </w:rPr>
        <w:t xml:space="preserve">contained no specific threat of enforcement); </w:t>
      </w:r>
      <w:r w:rsidRPr="00DA5613">
        <w:rPr>
          <w:rFonts w:asciiTheme="minorHAnsi" w:hAnsiTheme="minorHAnsi" w:cstheme="minorHAnsi"/>
          <w:i/>
          <w:iCs/>
        </w:rPr>
        <w:t>Tex. Democratic Party v. Abbott</w:t>
      </w:r>
      <w:r w:rsidRPr="00DA5613">
        <w:rPr>
          <w:rFonts w:asciiTheme="minorHAnsi" w:hAnsiTheme="minorHAnsi" w:cstheme="minorHAnsi"/>
        </w:rPr>
        <w:t>, 978 F.3d 168, 180 (5th Cir. 2020) (Governor’s suspension of primary election and extension of early voting period were not sufficient connection to enforcement of challenged election code provision regarding mail-in voting</w:t>
      </w:r>
      <w:r>
        <w:rPr>
          <w:rFonts w:asciiTheme="minorHAnsi" w:hAnsiTheme="minorHAnsi" w:cstheme="minorHAnsi"/>
        </w:rPr>
        <w:t xml:space="preserve">, </w:t>
      </w:r>
      <w:r w:rsidRPr="00DA5613">
        <w:rPr>
          <w:rFonts w:asciiTheme="minorHAnsi" w:hAnsiTheme="minorHAnsi" w:cstheme="minorHAnsi"/>
        </w:rPr>
        <w:t xml:space="preserve">and Attorney General Paxton’s statements that distributing mail-in ballots was illegal were not specific threats of enforcement); </w:t>
      </w:r>
      <w:r w:rsidRPr="00DA5613">
        <w:rPr>
          <w:rFonts w:asciiTheme="minorHAnsi" w:hAnsiTheme="minorHAnsi" w:cstheme="minorHAnsi"/>
          <w:i/>
          <w:iCs/>
        </w:rPr>
        <w:t>In re Abbott</w:t>
      </w:r>
      <w:r w:rsidRPr="00DA5613">
        <w:rPr>
          <w:rFonts w:asciiTheme="minorHAnsi" w:hAnsiTheme="minorHAnsi" w:cstheme="minorHAnsi"/>
        </w:rPr>
        <w:t>, 956 F.3d 696, 709 (5th Cir. 2020) (Attorney General’s press release stating that challenged law would be enforced did not contain specific threats of enforcement)</w:t>
      </w:r>
      <w:r>
        <w:rPr>
          <w:rFonts w:asciiTheme="minorHAnsi" w:hAnsiTheme="minorHAnsi" w:cstheme="minorHAnsi"/>
        </w:rPr>
        <w:t xml:space="preserve">, </w:t>
      </w:r>
      <w:r w:rsidRPr="00DE1ABB">
        <w:rPr>
          <w:rFonts w:asciiTheme="minorHAnsi" w:hAnsiTheme="minorHAnsi" w:cstheme="minorHAnsi"/>
          <w:i/>
          <w:iCs/>
        </w:rPr>
        <w:t>cert. granted, judgment vacated sub nom.</w:t>
      </w:r>
      <w:r w:rsidRPr="00DA5613">
        <w:rPr>
          <w:rFonts w:asciiTheme="minorHAnsi" w:hAnsiTheme="minorHAnsi" w:cstheme="minorHAnsi"/>
        </w:rPr>
        <w:t xml:space="preserve"> </w:t>
      </w:r>
      <w:r w:rsidRPr="00DA5613">
        <w:rPr>
          <w:rFonts w:asciiTheme="minorHAnsi" w:hAnsiTheme="minorHAnsi" w:cstheme="minorHAnsi"/>
          <w:i/>
          <w:iCs/>
        </w:rPr>
        <w:t>Planned Parenthood Ctr. for Choice v. Abbott</w:t>
      </w:r>
      <w:r w:rsidRPr="00DA5613">
        <w:rPr>
          <w:rFonts w:asciiTheme="minorHAnsi" w:hAnsiTheme="minorHAnsi" w:cstheme="minorHAnsi"/>
        </w:rPr>
        <w:t xml:space="preserve">, 141 S. Ct. 1261, 209 L. Ed. 2d 5 (2021). </w:t>
      </w:r>
      <w:r>
        <w:rPr>
          <w:rFonts w:asciiTheme="minorHAnsi" w:hAnsiTheme="minorHAnsi" w:cstheme="minorHAnsi"/>
        </w:rPr>
        <w:t xml:space="preserve"> And in </w:t>
      </w:r>
      <w:r w:rsidRPr="00DA5613">
        <w:rPr>
          <w:rFonts w:asciiTheme="minorHAnsi" w:hAnsiTheme="minorHAnsi" w:cstheme="minorHAnsi"/>
          <w:i/>
          <w:iCs/>
        </w:rPr>
        <w:t>Whole Woman’s Health v. Jackson</w:t>
      </w:r>
      <w:r w:rsidRPr="00DA5613">
        <w:rPr>
          <w:rFonts w:asciiTheme="minorHAnsi" w:hAnsiTheme="minorHAnsi" w:cstheme="minorHAnsi"/>
        </w:rPr>
        <w:t xml:space="preserve">, </w:t>
      </w:r>
      <w:r>
        <w:rPr>
          <w:rFonts w:asciiTheme="minorHAnsi" w:hAnsiTheme="minorHAnsi" w:cstheme="minorHAnsi"/>
        </w:rPr>
        <w:t>of course,</w:t>
      </w:r>
      <w:r w:rsidR="00B70B66">
        <w:rPr>
          <w:rFonts w:asciiTheme="minorHAnsi" w:hAnsiTheme="minorHAnsi" w:cstheme="minorHAnsi"/>
        </w:rPr>
        <w:t xml:space="preserve"> </w:t>
      </w:r>
      <w:r w:rsidR="00B70B66">
        <w:rPr>
          <w:rFonts w:asciiTheme="minorHAnsi" w:hAnsiTheme="minorHAnsi" w:cstheme="minorHAnsi"/>
          <w:color w:val="auto"/>
        </w:rPr>
        <w:t>there could have been no active enforcement because</w:t>
      </w:r>
      <w:r>
        <w:rPr>
          <w:rFonts w:asciiTheme="minorHAnsi" w:hAnsiTheme="minorHAnsi" w:cstheme="minorHAnsi"/>
        </w:rPr>
        <w:t xml:space="preserve"> the challenged statute specifically </w:t>
      </w:r>
      <w:r w:rsidRPr="0009600C">
        <w:rPr>
          <w:rFonts w:asciiTheme="minorHAnsi" w:hAnsiTheme="minorHAnsi" w:cstheme="minorHAnsi"/>
          <w:b/>
          <w:bCs/>
          <w:i/>
          <w:iCs/>
        </w:rPr>
        <w:t>precludes</w:t>
      </w:r>
      <w:r>
        <w:rPr>
          <w:rFonts w:asciiTheme="minorHAnsi" w:hAnsiTheme="minorHAnsi" w:cstheme="minorHAnsi"/>
        </w:rPr>
        <w:t xml:space="preserve"> state enforcement.  </w:t>
      </w:r>
      <w:r w:rsidRPr="002A17F0">
        <w:rPr>
          <w:rFonts w:asciiTheme="minorHAnsi" w:hAnsiTheme="minorHAnsi" w:cstheme="minorHAnsi"/>
          <w:i/>
          <w:iCs/>
        </w:rPr>
        <w:t>See</w:t>
      </w:r>
      <w:r>
        <w:rPr>
          <w:rFonts w:asciiTheme="minorHAnsi" w:hAnsiTheme="minorHAnsi" w:cstheme="minorHAnsi"/>
        </w:rPr>
        <w:t xml:space="preserve"> </w:t>
      </w:r>
      <w:r w:rsidRPr="00DA5613">
        <w:rPr>
          <w:rFonts w:asciiTheme="minorHAnsi" w:hAnsiTheme="minorHAnsi" w:cstheme="minorHAnsi"/>
        </w:rPr>
        <w:t>2021 WL 4128951, at *4 (5th Cir. Sept. 10, 2021)</w:t>
      </w:r>
      <w:r>
        <w:rPr>
          <w:rFonts w:asciiTheme="minorHAnsi" w:hAnsiTheme="minorHAnsi" w:cstheme="minorHAnsi"/>
        </w:rPr>
        <w:t xml:space="preserve">.  None of these cases enable a state official to avoid </w:t>
      </w:r>
      <w:r w:rsidRPr="00D37687">
        <w:rPr>
          <w:rFonts w:asciiTheme="minorHAnsi" w:hAnsiTheme="minorHAnsi" w:cstheme="minorHAnsi"/>
          <w:i/>
          <w:iCs/>
        </w:rPr>
        <w:t>Ex parte Young</w:t>
      </w:r>
      <w:r>
        <w:rPr>
          <w:rFonts w:asciiTheme="minorHAnsi" w:hAnsiTheme="minorHAnsi" w:cstheme="minorHAnsi"/>
        </w:rPr>
        <w:t xml:space="preserve"> simply because his active enforcement efforts are grounded in a broader authority.</w:t>
      </w:r>
    </w:p>
    <w:p w14:paraId="11EEB54E" w14:textId="7D9A4A6D" w:rsidR="00200849" w:rsidRPr="00DA5613" w:rsidRDefault="00200849" w:rsidP="00200849">
      <w:pPr>
        <w:pStyle w:val="NoSpacing"/>
        <w:spacing w:line="480" w:lineRule="auto"/>
        <w:rPr>
          <w:rFonts w:asciiTheme="minorHAnsi" w:hAnsiTheme="minorHAnsi" w:cstheme="minorHAnsi"/>
        </w:rPr>
      </w:pPr>
      <w:r>
        <w:rPr>
          <w:rFonts w:asciiTheme="minorHAnsi" w:hAnsiTheme="minorHAnsi" w:cstheme="minorHAnsi"/>
        </w:rPr>
        <w:tab/>
        <w:t xml:space="preserve">To the extent the language of these cases suggests a need to find the enforcement authority in the text of the challenged law itself, applying that language in a case like this one—involving active enforcement—would conflict with </w:t>
      </w:r>
      <w:r w:rsidRPr="0077430C">
        <w:rPr>
          <w:rFonts w:asciiTheme="minorHAnsi" w:hAnsiTheme="minorHAnsi" w:cstheme="minorHAnsi"/>
          <w:i/>
          <w:iCs/>
        </w:rPr>
        <w:t>Ex parte Young</w:t>
      </w:r>
      <w:r>
        <w:rPr>
          <w:rFonts w:asciiTheme="minorHAnsi" w:hAnsiTheme="minorHAnsi" w:cstheme="minorHAnsi"/>
        </w:rPr>
        <w:t xml:space="preserve"> itself.  Again, the Supreme Court held that whether the enforcement power “</w:t>
      </w:r>
      <w:r w:rsidRPr="0077430C">
        <w:rPr>
          <w:rFonts w:asciiTheme="minorHAnsi" w:hAnsiTheme="minorHAnsi" w:cstheme="minorHAnsi"/>
        </w:rPr>
        <w:t>arises out of the general law, or is specially created by the act itself, is not material so long as it exists</w:t>
      </w:r>
      <w:r>
        <w:rPr>
          <w:rFonts w:asciiTheme="minorHAnsi" w:hAnsiTheme="minorHAnsi" w:cstheme="minorHAnsi"/>
        </w:rPr>
        <w:t xml:space="preserve">.”  209 U.S. at 157.  The attorney general in </w:t>
      </w:r>
      <w:r w:rsidRPr="008656AE">
        <w:rPr>
          <w:rFonts w:asciiTheme="minorHAnsi" w:hAnsiTheme="minorHAnsi" w:cstheme="minorHAnsi"/>
          <w:i/>
          <w:iCs/>
        </w:rPr>
        <w:t>Ex parte Young</w:t>
      </w:r>
      <w:r>
        <w:rPr>
          <w:rFonts w:asciiTheme="minorHAnsi" w:hAnsiTheme="minorHAnsi" w:cstheme="minorHAnsi"/>
        </w:rPr>
        <w:t xml:space="preserve"> was actively engaged in enforcing the challenged law, and the Court specifically held that his </w:t>
      </w:r>
      <w:r w:rsidRPr="002D163B">
        <w:rPr>
          <w:rFonts w:asciiTheme="minorHAnsi" w:hAnsiTheme="minorHAnsi" w:cstheme="minorHAnsi"/>
        </w:rPr>
        <w:t xml:space="preserve">“power by virtue of his office sufficiently connected him with the duty of enforcement to make him a proper party.”  </w:t>
      </w:r>
      <w:r w:rsidRPr="002D163B">
        <w:rPr>
          <w:rFonts w:asciiTheme="minorHAnsi" w:hAnsiTheme="minorHAnsi" w:cstheme="minorHAnsi"/>
          <w:i/>
          <w:iCs/>
        </w:rPr>
        <w:t>Id</w:t>
      </w:r>
      <w:r w:rsidRPr="002D163B">
        <w:rPr>
          <w:rFonts w:asciiTheme="minorHAnsi" w:hAnsiTheme="minorHAnsi" w:cstheme="minorHAnsi"/>
        </w:rPr>
        <w:t xml:space="preserve">. at 161. </w:t>
      </w:r>
      <w:r>
        <w:rPr>
          <w:rFonts w:asciiTheme="minorHAnsi" w:hAnsiTheme="minorHAnsi" w:cstheme="minorHAnsi"/>
        </w:rPr>
        <w:t xml:space="preserve"> As discussed above, Attorney General Paxton </w:t>
      </w:r>
      <w:r w:rsidRPr="00F32BA5">
        <w:rPr>
          <w:rFonts w:asciiTheme="minorHAnsi" w:hAnsiTheme="minorHAnsi" w:cstheme="minorHAnsi"/>
        </w:rPr>
        <w:t>unde</w:t>
      </w:r>
      <w:r>
        <w:rPr>
          <w:rFonts w:asciiTheme="minorHAnsi" w:hAnsiTheme="minorHAnsi" w:cstheme="minorHAnsi"/>
        </w:rPr>
        <w:t>n</w:t>
      </w:r>
      <w:r w:rsidRPr="00F32BA5">
        <w:rPr>
          <w:rFonts w:asciiTheme="minorHAnsi" w:hAnsiTheme="minorHAnsi" w:cstheme="minorHAnsi"/>
        </w:rPr>
        <w:t>iably</w:t>
      </w:r>
      <w:r>
        <w:rPr>
          <w:rFonts w:asciiTheme="minorHAnsi" w:hAnsiTheme="minorHAnsi" w:cstheme="minorHAnsi"/>
          <w:b/>
          <w:bCs/>
          <w:i/>
          <w:iCs/>
        </w:rPr>
        <w:t xml:space="preserve"> </w:t>
      </w:r>
      <w:r>
        <w:rPr>
          <w:rFonts w:asciiTheme="minorHAnsi" w:hAnsiTheme="minorHAnsi" w:cstheme="minorHAnsi"/>
        </w:rPr>
        <w:t>has authority to enforce Texas law—and Commissioner M</w:t>
      </w:r>
      <w:r w:rsidR="000F412D">
        <w:rPr>
          <w:rFonts w:asciiTheme="minorHAnsi" w:hAnsiTheme="minorHAnsi" w:cstheme="minorHAnsi"/>
        </w:rPr>
        <w:t>or</w:t>
      </w:r>
      <w:r>
        <w:rPr>
          <w:rFonts w:asciiTheme="minorHAnsi" w:hAnsiTheme="minorHAnsi" w:cstheme="minorHAnsi"/>
        </w:rPr>
        <w:t xml:space="preserve">ath has statutory authority with respect to public schools.  And just as important, they both apparently </w:t>
      </w:r>
      <w:r w:rsidRPr="008656AE">
        <w:rPr>
          <w:rFonts w:asciiTheme="minorHAnsi" w:hAnsiTheme="minorHAnsi" w:cstheme="minorHAnsi"/>
          <w:b/>
          <w:bCs/>
          <w:i/>
          <w:iCs/>
        </w:rPr>
        <w:t>believe</w:t>
      </w:r>
      <w:r>
        <w:rPr>
          <w:rFonts w:asciiTheme="minorHAnsi" w:hAnsiTheme="minorHAnsi" w:cstheme="minorHAnsi"/>
        </w:rPr>
        <w:t xml:space="preserve"> they have such authority, </w:t>
      </w:r>
      <w:r w:rsidRPr="008656AE">
        <w:rPr>
          <w:rFonts w:asciiTheme="minorHAnsi" w:hAnsiTheme="minorHAnsi" w:cstheme="minorHAnsi"/>
          <w:b/>
          <w:bCs/>
          <w:i/>
          <w:iCs/>
        </w:rPr>
        <w:t xml:space="preserve">because </w:t>
      </w:r>
      <w:r w:rsidRPr="00F32BA5">
        <w:rPr>
          <w:rFonts w:asciiTheme="minorHAnsi" w:hAnsiTheme="minorHAnsi" w:cstheme="minorHAnsi"/>
          <w:b/>
          <w:bCs/>
          <w:i/>
          <w:iCs/>
        </w:rPr>
        <w:t xml:space="preserve">they are both actively engaged in </w:t>
      </w:r>
      <w:r>
        <w:rPr>
          <w:rFonts w:asciiTheme="minorHAnsi" w:hAnsiTheme="minorHAnsi" w:cstheme="minorHAnsi"/>
          <w:b/>
          <w:bCs/>
          <w:i/>
          <w:iCs/>
        </w:rPr>
        <w:t xml:space="preserve">GA-38’s </w:t>
      </w:r>
      <w:r w:rsidRPr="00F32BA5">
        <w:rPr>
          <w:rFonts w:asciiTheme="minorHAnsi" w:hAnsiTheme="minorHAnsi" w:cstheme="minorHAnsi"/>
          <w:b/>
          <w:bCs/>
          <w:i/>
          <w:iCs/>
        </w:rPr>
        <w:t>enforcement</w:t>
      </w:r>
      <w:r>
        <w:rPr>
          <w:rFonts w:asciiTheme="minorHAnsi" w:hAnsiTheme="minorHAnsi" w:cstheme="minorHAnsi"/>
        </w:rPr>
        <w:t>.  Fifth Circuit cases do not require this Court to blind itself to that reality.</w:t>
      </w:r>
    </w:p>
    <w:p w14:paraId="27398614" w14:textId="1672DF58" w:rsidR="004130C6" w:rsidRPr="00DA5613" w:rsidRDefault="00200849" w:rsidP="00200849">
      <w:pPr>
        <w:pStyle w:val="NoSpacing"/>
        <w:spacing w:line="480" w:lineRule="auto"/>
        <w:rPr>
          <w:rFonts w:asciiTheme="minorHAnsi" w:hAnsiTheme="minorHAnsi" w:cstheme="minorHAnsi"/>
        </w:rPr>
      </w:pPr>
      <w:r w:rsidRPr="00DA5613">
        <w:rPr>
          <w:rFonts w:asciiTheme="minorHAnsi" w:hAnsiTheme="minorHAnsi" w:cstheme="minorHAnsi"/>
        </w:rPr>
        <w:tab/>
      </w:r>
      <w:r>
        <w:rPr>
          <w:rFonts w:asciiTheme="minorHAnsi" w:hAnsiTheme="minorHAnsi" w:cstheme="minorHAnsi"/>
        </w:rPr>
        <w:t xml:space="preserve">Reaching any other result in this case would defeat </w:t>
      </w:r>
      <w:r w:rsidRPr="00DA5613">
        <w:rPr>
          <w:rFonts w:asciiTheme="minorHAnsi" w:hAnsiTheme="minorHAnsi" w:cstheme="minorHAnsi"/>
        </w:rPr>
        <w:t xml:space="preserve">the purpose of </w:t>
      </w:r>
      <w:r w:rsidRPr="00DA5613">
        <w:rPr>
          <w:rFonts w:asciiTheme="minorHAnsi" w:hAnsiTheme="minorHAnsi" w:cstheme="minorHAnsi"/>
          <w:i/>
          <w:iCs/>
        </w:rPr>
        <w:t>Ex parte Young</w:t>
      </w:r>
      <w:r w:rsidRPr="00DA5613">
        <w:rPr>
          <w:rFonts w:asciiTheme="minorHAnsi" w:hAnsiTheme="minorHAnsi" w:cstheme="minorHAnsi"/>
        </w:rPr>
        <w:t xml:space="preserve">.  </w:t>
      </w:r>
      <w:r>
        <w:rPr>
          <w:rFonts w:asciiTheme="minorHAnsi" w:eastAsia="Times New Roman" w:hAnsiTheme="minorHAnsi" w:cstheme="minorHAnsi"/>
        </w:rPr>
        <w:t xml:space="preserve">As the Supreme Court explained, </w:t>
      </w:r>
      <w:r w:rsidRPr="00DA5613">
        <w:rPr>
          <w:rFonts w:asciiTheme="minorHAnsi" w:eastAsia="Times New Roman" w:hAnsiTheme="minorHAnsi" w:cstheme="minorHAnsi"/>
        </w:rPr>
        <w:t>“</w:t>
      </w:r>
      <w:r>
        <w:rPr>
          <w:rFonts w:asciiTheme="minorHAnsi" w:eastAsia="Times New Roman" w:hAnsiTheme="minorHAnsi" w:cstheme="minorHAnsi"/>
        </w:rPr>
        <w:t>t</w:t>
      </w:r>
      <w:r w:rsidRPr="00DA5613">
        <w:rPr>
          <w:rFonts w:asciiTheme="minorHAnsi" w:eastAsia="Times New Roman" w:hAnsiTheme="minorHAnsi" w:cstheme="minorHAnsi"/>
        </w:rPr>
        <w:t>he use of the name of the state to enforce an unconstitutional act . . . is a proceeding without the authority of, and one which does not affect, the state in its sovereign or governmental capacity.”</w:t>
      </w:r>
      <w:r>
        <w:rPr>
          <w:rFonts w:asciiTheme="minorHAnsi" w:eastAsia="Times New Roman" w:hAnsiTheme="minorHAnsi" w:cstheme="minorHAnsi"/>
        </w:rPr>
        <w:t xml:space="preserve">  </w:t>
      </w:r>
      <w:r w:rsidRPr="00A44032">
        <w:rPr>
          <w:rFonts w:asciiTheme="minorHAnsi" w:eastAsia="Times New Roman" w:hAnsiTheme="minorHAnsi" w:cstheme="minorHAnsi"/>
          <w:i/>
          <w:iCs/>
        </w:rPr>
        <w:t>Ex parte Young</w:t>
      </w:r>
      <w:r>
        <w:rPr>
          <w:rFonts w:asciiTheme="minorHAnsi" w:eastAsia="Times New Roman" w:hAnsiTheme="minorHAnsi" w:cstheme="minorHAnsi"/>
        </w:rPr>
        <w:t>, 209 U.S. at 159.  As a result, t</w:t>
      </w:r>
      <w:r w:rsidRPr="00DA5613">
        <w:rPr>
          <w:rFonts w:asciiTheme="minorHAnsi" w:eastAsia="Times New Roman" w:hAnsiTheme="minorHAnsi" w:cstheme="minorHAnsi"/>
        </w:rPr>
        <w:t xml:space="preserve">he </w:t>
      </w:r>
      <w:r w:rsidRPr="002D163B">
        <w:rPr>
          <w:rFonts w:asciiTheme="minorHAnsi" w:eastAsia="Times New Roman" w:hAnsiTheme="minorHAnsi" w:cstheme="minorHAnsi"/>
          <w:i/>
          <w:iCs/>
        </w:rPr>
        <w:t>Young</w:t>
      </w:r>
      <w:r w:rsidRPr="00DA5613">
        <w:rPr>
          <w:rFonts w:asciiTheme="minorHAnsi" w:eastAsia="Times New Roman" w:hAnsiTheme="minorHAnsi" w:cstheme="minorHAnsi"/>
        </w:rPr>
        <w:t xml:space="preserve"> doctrine is an “important limit on the sovereign-immunity principle”—a legal “fiction” necessary to “permit the federal courts to vindicate federal rights</w:t>
      </w:r>
      <w:r>
        <w:rPr>
          <w:rFonts w:asciiTheme="minorHAnsi" w:eastAsia="Times New Roman" w:hAnsiTheme="minorHAnsi" w:cstheme="minorHAnsi"/>
        </w:rPr>
        <w:t xml:space="preserve">.”  </w:t>
      </w:r>
      <w:r w:rsidRPr="00DA5613">
        <w:rPr>
          <w:rFonts w:asciiTheme="minorHAnsi" w:eastAsia="Times New Roman" w:hAnsiTheme="minorHAnsi" w:cstheme="minorHAnsi"/>
          <w:i/>
          <w:iCs/>
        </w:rPr>
        <w:t>Stewart</w:t>
      </w:r>
      <w:r w:rsidRPr="00DA5613">
        <w:rPr>
          <w:rFonts w:asciiTheme="minorHAnsi" w:eastAsia="Times New Roman" w:hAnsiTheme="minorHAnsi" w:cstheme="minorHAnsi"/>
        </w:rPr>
        <w:t xml:space="preserve">, 563 U.S. at 254–55 (citations omitted).  </w:t>
      </w:r>
      <w:r w:rsidRPr="00DA5613">
        <w:rPr>
          <w:rFonts w:asciiTheme="minorHAnsi" w:hAnsiTheme="minorHAnsi" w:cstheme="minorHAnsi"/>
        </w:rPr>
        <w:t xml:space="preserve">A requirement that the challenged </w:t>
      </w:r>
      <w:r>
        <w:rPr>
          <w:rFonts w:asciiTheme="minorHAnsi" w:hAnsiTheme="minorHAnsi" w:cstheme="minorHAnsi"/>
        </w:rPr>
        <w:t>law</w:t>
      </w:r>
      <w:r w:rsidRPr="00DA5613">
        <w:rPr>
          <w:rFonts w:asciiTheme="minorHAnsi" w:hAnsiTheme="minorHAnsi" w:cstheme="minorHAnsi"/>
        </w:rPr>
        <w:t xml:space="preserve"> specifically authorize the defendant to enforce it</w:t>
      </w:r>
      <w:r>
        <w:rPr>
          <w:rFonts w:asciiTheme="minorHAnsi" w:eastAsia="Times New Roman" w:hAnsiTheme="minorHAnsi" w:cstheme="minorHAnsi"/>
        </w:rPr>
        <w:t xml:space="preserve">—when the defendant </w:t>
      </w:r>
      <w:r w:rsidRPr="00A44032">
        <w:rPr>
          <w:rFonts w:asciiTheme="minorHAnsi" w:eastAsia="Times New Roman" w:hAnsiTheme="minorHAnsi" w:cstheme="minorHAnsi"/>
          <w:b/>
          <w:bCs/>
          <w:i/>
          <w:iCs/>
        </w:rPr>
        <w:t>is already engaged in</w:t>
      </w:r>
      <w:r>
        <w:rPr>
          <w:rFonts w:asciiTheme="minorHAnsi" w:eastAsia="Times New Roman" w:hAnsiTheme="minorHAnsi" w:cstheme="minorHAnsi"/>
        </w:rPr>
        <w:t xml:space="preserve"> that enforcement—would conflict with </w:t>
      </w:r>
      <w:r w:rsidRPr="00A44032">
        <w:rPr>
          <w:rFonts w:asciiTheme="minorHAnsi" w:eastAsia="Times New Roman" w:hAnsiTheme="minorHAnsi" w:cstheme="minorHAnsi"/>
          <w:i/>
          <w:iCs/>
        </w:rPr>
        <w:t>Ex parte Young</w:t>
      </w:r>
      <w:r>
        <w:rPr>
          <w:rFonts w:asciiTheme="minorHAnsi" w:eastAsia="Times New Roman" w:hAnsiTheme="minorHAnsi" w:cstheme="minorHAnsi"/>
        </w:rPr>
        <w:t xml:space="preserve"> and pre</w:t>
      </w:r>
      <w:r w:rsidRPr="00DA5613">
        <w:rPr>
          <w:rFonts w:asciiTheme="minorHAnsi" w:eastAsia="Times New Roman" w:hAnsiTheme="minorHAnsi" w:cstheme="minorHAnsi"/>
        </w:rPr>
        <w:t>clude the vindication of federal rights.</w:t>
      </w:r>
      <w:r>
        <w:rPr>
          <w:rFonts w:asciiTheme="minorHAnsi" w:eastAsia="Times New Roman" w:hAnsiTheme="minorHAnsi" w:cstheme="minorHAnsi"/>
        </w:rPr>
        <w:t xml:space="preserve">  The Fifth Circuit’s cases do not—and could not—impose such a requirement</w:t>
      </w:r>
      <w:r w:rsidR="004130C6" w:rsidRPr="00DA5613">
        <w:rPr>
          <w:rFonts w:asciiTheme="minorHAnsi" w:hAnsiTheme="minorHAnsi" w:cstheme="minorHAnsi"/>
        </w:rPr>
        <w:t xml:space="preserve">.  </w:t>
      </w:r>
    </w:p>
    <w:p w14:paraId="7BC0075D" w14:textId="58D4CECC" w:rsidR="004130C6" w:rsidRPr="00DA5613" w:rsidRDefault="004130C6" w:rsidP="004E27BD">
      <w:pPr>
        <w:pStyle w:val="pleadingtls4"/>
      </w:pPr>
      <w:bookmarkStart w:id="131" w:name="_Toc83814462"/>
      <w:bookmarkStart w:id="132" w:name="_Toc83846178"/>
      <w:r w:rsidRPr="00DA5613">
        <w:t>Plaintiffs have standing because Defendants</w:t>
      </w:r>
      <w:r w:rsidR="0057679D">
        <w:t>’</w:t>
      </w:r>
      <w:r w:rsidRPr="00DA5613">
        <w:t xml:space="preserve"> unlawful conduct has deprived Plaintiffs of</w:t>
      </w:r>
      <w:r w:rsidR="00004182">
        <w:t xml:space="preserve"> meaningful access to</w:t>
      </w:r>
      <w:r w:rsidRPr="00DA5613">
        <w:t xml:space="preserve"> in-person public education.</w:t>
      </w:r>
      <w:bookmarkEnd w:id="131"/>
      <w:bookmarkEnd w:id="132"/>
    </w:p>
    <w:p w14:paraId="1B2C903F" w14:textId="77777777"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b/>
          <w:bCs/>
        </w:rPr>
        <w:tab/>
      </w:r>
      <w:r w:rsidRPr="00DA5613">
        <w:rPr>
          <w:rFonts w:asciiTheme="minorHAnsi" w:hAnsiTheme="minorHAnsi" w:cstheme="minorHAnsi"/>
        </w:rPr>
        <w:t xml:space="preserve">Article III of the United States Constitution requires Plaintiffs to demonstrate that they have standing.  </w:t>
      </w:r>
      <w:r w:rsidRPr="00DA5613">
        <w:rPr>
          <w:rFonts w:asciiTheme="minorHAnsi" w:hAnsiTheme="minorHAnsi" w:cstheme="minorHAnsi"/>
          <w:i/>
          <w:iCs/>
        </w:rPr>
        <w:t>Spokeo, Inc. v. Robins</w:t>
      </w:r>
      <w:r w:rsidRPr="00DA5613">
        <w:rPr>
          <w:rFonts w:asciiTheme="minorHAnsi" w:hAnsiTheme="minorHAnsi" w:cstheme="minorHAnsi"/>
        </w:rPr>
        <w:t xml:space="preserve">, 578 U.S. 330, 338, (2016).  To demonstrate standing a plaintiff “must not only establish (1) an injury in fact (2) that is fairly traceable to the challenged conduct, but he must also seek (3) a remedy that is likely to redress that injury.”  </w:t>
      </w:r>
      <w:r w:rsidRPr="00DA5613">
        <w:rPr>
          <w:rFonts w:asciiTheme="minorHAnsi" w:hAnsiTheme="minorHAnsi" w:cstheme="minorHAnsi"/>
          <w:i/>
          <w:iCs/>
        </w:rPr>
        <w:t>Uzuegbunam v. Preczewski</w:t>
      </w:r>
      <w:r w:rsidRPr="00DA5613">
        <w:rPr>
          <w:rFonts w:asciiTheme="minorHAnsi" w:hAnsiTheme="minorHAnsi" w:cstheme="minorHAnsi"/>
        </w:rPr>
        <w:t xml:space="preserve">, 141 S. Ct. 792, 797 (2021).    </w:t>
      </w:r>
    </w:p>
    <w:p w14:paraId="17A68094" w14:textId="2326393A" w:rsidR="004130C6" w:rsidRPr="00DA5613" w:rsidRDefault="004130C6" w:rsidP="006A5965">
      <w:pPr>
        <w:pStyle w:val="pleadingtls5"/>
      </w:pPr>
      <w:bookmarkStart w:id="133" w:name="_Toc83814463"/>
      <w:bookmarkStart w:id="134" w:name="_Toc83846179"/>
      <w:r w:rsidRPr="00DA5613">
        <w:t xml:space="preserve">Plaintiffs have suffered an injury because they have been deprived of </w:t>
      </w:r>
      <w:r w:rsidR="00004182">
        <w:t>meaningful access to</w:t>
      </w:r>
      <w:r w:rsidRPr="00DA5613">
        <w:t xml:space="preserve"> in-person public education.</w:t>
      </w:r>
      <w:bookmarkEnd w:id="133"/>
      <w:bookmarkEnd w:id="134"/>
    </w:p>
    <w:p w14:paraId="24A6FF13" w14:textId="77777777"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b/>
          <w:bCs/>
        </w:rPr>
        <w:tab/>
      </w:r>
      <w:r w:rsidRPr="00DA5613">
        <w:rPr>
          <w:rFonts w:asciiTheme="minorHAnsi" w:hAnsiTheme="minorHAnsi" w:cstheme="minorHAnsi"/>
        </w:rPr>
        <w:t xml:space="preserve">Standing’s injury requirement “helps to ensure that the plaintiff has a ‘personal stake in the outcome of the controversy.’”  </w:t>
      </w:r>
      <w:r w:rsidRPr="00DA5613">
        <w:rPr>
          <w:rFonts w:asciiTheme="minorHAnsi" w:hAnsiTheme="minorHAnsi" w:cstheme="minorHAnsi"/>
          <w:i/>
          <w:iCs/>
        </w:rPr>
        <w:t>Susan B. Anthony List v. Driehaus</w:t>
      </w:r>
      <w:r w:rsidRPr="00DA5613">
        <w:rPr>
          <w:rFonts w:asciiTheme="minorHAnsi" w:hAnsiTheme="minorHAnsi" w:cstheme="minorHAnsi"/>
        </w:rPr>
        <w:t xml:space="preserve">, 573 U.S. 149, 158 (2014) (quoting </w:t>
      </w:r>
      <w:r w:rsidRPr="00DA5613">
        <w:rPr>
          <w:rFonts w:asciiTheme="minorHAnsi" w:hAnsiTheme="minorHAnsi" w:cstheme="minorHAnsi"/>
          <w:i/>
          <w:iCs/>
        </w:rPr>
        <w:t>Warth v. Seldin</w:t>
      </w:r>
      <w:r w:rsidRPr="00DA5613">
        <w:rPr>
          <w:rFonts w:asciiTheme="minorHAnsi" w:hAnsiTheme="minorHAnsi" w:cstheme="minorHAnsi"/>
        </w:rPr>
        <w:t xml:space="preserve">, 422 U.S. 490, 498 (1975)).  In addition to existing injuries, “imminent” injuries meet the injury requirement.  </w:t>
      </w:r>
      <w:r w:rsidRPr="00DA5613">
        <w:rPr>
          <w:rFonts w:asciiTheme="minorHAnsi" w:hAnsiTheme="minorHAnsi" w:cstheme="minorHAnsi"/>
          <w:i/>
          <w:iCs/>
        </w:rPr>
        <w:t>Clapper v. Amnesty Int’l USA</w:t>
      </w:r>
      <w:r w:rsidRPr="00DA5613">
        <w:rPr>
          <w:rFonts w:asciiTheme="minorHAnsi" w:hAnsiTheme="minorHAnsi" w:cstheme="minorHAnsi"/>
        </w:rPr>
        <w:t xml:space="preserve">, 568 U.S. 398, 409 (2013) (stating that “an injury must be ‘concrete, particularized, and actual or imminent’”) (quoting </w:t>
      </w:r>
      <w:r w:rsidRPr="00DA5613">
        <w:rPr>
          <w:rFonts w:asciiTheme="minorHAnsi" w:hAnsiTheme="minorHAnsi" w:cstheme="minorHAnsi"/>
          <w:i/>
          <w:iCs/>
        </w:rPr>
        <w:t>Monsanto Co. v. Geertson Seed Farms</w:t>
      </w:r>
      <w:r w:rsidRPr="00DA5613">
        <w:rPr>
          <w:rFonts w:asciiTheme="minorHAnsi" w:hAnsiTheme="minorHAnsi" w:cstheme="minorHAnsi"/>
        </w:rPr>
        <w:t xml:space="preserve">, 561 U.S. 139, 149 (2010)).  An injury is sufficiently imminent to confer standing if there is a “‘substantial risk’ that the harm will occur.”  </w:t>
      </w:r>
      <w:r w:rsidRPr="00DA5613">
        <w:rPr>
          <w:rFonts w:asciiTheme="minorHAnsi" w:hAnsiTheme="minorHAnsi" w:cstheme="minorHAnsi"/>
          <w:i/>
          <w:iCs/>
        </w:rPr>
        <w:t>Driehaus</w:t>
      </w:r>
      <w:r w:rsidRPr="00DA5613">
        <w:rPr>
          <w:rFonts w:asciiTheme="minorHAnsi" w:hAnsiTheme="minorHAnsi" w:cstheme="minorHAnsi"/>
        </w:rPr>
        <w:t>, 573 U.S. at 158</w:t>
      </w:r>
      <w:r w:rsidRPr="00DA5613">
        <w:rPr>
          <w:rFonts w:asciiTheme="minorHAnsi" w:hAnsiTheme="minorHAnsi" w:cstheme="minorHAnsi"/>
          <w:i/>
          <w:iCs/>
        </w:rPr>
        <w:t xml:space="preserve"> </w:t>
      </w:r>
      <w:r w:rsidRPr="00DA5613">
        <w:rPr>
          <w:rFonts w:asciiTheme="minorHAnsi" w:hAnsiTheme="minorHAnsi" w:cstheme="minorHAnsi"/>
        </w:rPr>
        <w:t xml:space="preserve">(quoting </w:t>
      </w:r>
      <w:r w:rsidRPr="00DA5613">
        <w:rPr>
          <w:rFonts w:asciiTheme="minorHAnsi" w:hAnsiTheme="minorHAnsi" w:cstheme="minorHAnsi"/>
          <w:i/>
          <w:iCs/>
        </w:rPr>
        <w:t>Clapper</w:t>
      </w:r>
      <w:r w:rsidRPr="00DA5613">
        <w:rPr>
          <w:rFonts w:asciiTheme="minorHAnsi" w:hAnsiTheme="minorHAnsi" w:cstheme="minorHAnsi"/>
        </w:rPr>
        <w:t>, 368 U.S. at 414 n. 5).</w:t>
      </w:r>
    </w:p>
    <w:p w14:paraId="0FB8447E" w14:textId="10E4C50B" w:rsidR="00DA5613"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Here, some Plaintiffs have suffered an actual injury, and other Plaintiffs face a substantial risk </w:t>
      </w:r>
      <w:r w:rsidR="00DA5613" w:rsidRPr="00DA5613">
        <w:rPr>
          <w:rFonts w:asciiTheme="minorHAnsi" w:hAnsiTheme="minorHAnsi" w:cstheme="minorHAnsi"/>
        </w:rPr>
        <w:t>of imminent injury if Defendants are permitted to continue enforcing GA-38</w:t>
      </w:r>
      <w:r w:rsidRPr="00DA5613">
        <w:rPr>
          <w:rFonts w:asciiTheme="minorHAnsi" w:hAnsiTheme="minorHAnsi" w:cstheme="minorHAnsi"/>
        </w:rPr>
        <w:t xml:space="preserve">.  The injury is the </w:t>
      </w:r>
      <w:r w:rsidR="00DA5613" w:rsidRPr="00DA5613">
        <w:rPr>
          <w:rFonts w:asciiTheme="minorHAnsi" w:hAnsiTheme="minorHAnsi" w:cstheme="minorHAnsi"/>
        </w:rPr>
        <w:t xml:space="preserve">loss </w:t>
      </w:r>
      <w:r w:rsidRPr="00DA5613">
        <w:rPr>
          <w:rFonts w:asciiTheme="minorHAnsi" w:hAnsiTheme="minorHAnsi" w:cstheme="minorHAnsi"/>
        </w:rPr>
        <w:t xml:space="preserve">of the opportunity to attend </w:t>
      </w:r>
      <w:r w:rsidR="00DA5613" w:rsidRPr="00DA5613">
        <w:rPr>
          <w:rFonts w:asciiTheme="minorHAnsi" w:hAnsiTheme="minorHAnsi" w:cstheme="minorHAnsi"/>
        </w:rPr>
        <w:t xml:space="preserve">and have meaningful access to </w:t>
      </w:r>
      <w:r w:rsidRPr="00DA5613">
        <w:rPr>
          <w:rFonts w:asciiTheme="minorHAnsi" w:hAnsiTheme="minorHAnsi" w:cstheme="minorHAnsi"/>
        </w:rPr>
        <w:t xml:space="preserve">public school in person.  Some </w:t>
      </w:r>
      <w:r w:rsidR="000F412D">
        <w:rPr>
          <w:rFonts w:asciiTheme="minorHAnsi" w:hAnsiTheme="minorHAnsi" w:cstheme="minorHAnsi"/>
        </w:rPr>
        <w:t xml:space="preserve">of </w:t>
      </w:r>
      <w:r w:rsidRPr="00DA5613">
        <w:rPr>
          <w:rFonts w:asciiTheme="minorHAnsi" w:hAnsiTheme="minorHAnsi" w:cstheme="minorHAnsi"/>
        </w:rPr>
        <w:t>Plaintiffs</w:t>
      </w:r>
      <w:r w:rsidR="000F412D">
        <w:rPr>
          <w:rFonts w:asciiTheme="minorHAnsi" w:hAnsiTheme="minorHAnsi" w:cstheme="minorHAnsi"/>
        </w:rPr>
        <w:t>’</w:t>
      </w:r>
      <w:r w:rsidRPr="00DA5613">
        <w:rPr>
          <w:rFonts w:asciiTheme="minorHAnsi" w:hAnsiTheme="minorHAnsi" w:cstheme="minorHAnsi"/>
        </w:rPr>
        <w:t xml:space="preserve"> parents </w:t>
      </w:r>
      <w:r w:rsidR="002A21E2">
        <w:rPr>
          <w:rFonts w:asciiTheme="minorHAnsi" w:hAnsiTheme="minorHAnsi" w:cstheme="minorHAnsi"/>
        </w:rPr>
        <w:t>have</w:t>
      </w:r>
      <w:r w:rsidRPr="00DA5613">
        <w:rPr>
          <w:rFonts w:asciiTheme="minorHAnsi" w:hAnsiTheme="minorHAnsi" w:cstheme="minorHAnsi"/>
        </w:rPr>
        <w:t xml:space="preserve"> ke</w:t>
      </w:r>
      <w:r w:rsidR="002A21E2">
        <w:rPr>
          <w:rFonts w:asciiTheme="minorHAnsi" w:hAnsiTheme="minorHAnsi" w:cstheme="minorHAnsi"/>
        </w:rPr>
        <w:t>pt</w:t>
      </w:r>
      <w:r w:rsidRPr="00DA5613">
        <w:rPr>
          <w:rFonts w:asciiTheme="minorHAnsi" w:hAnsiTheme="minorHAnsi" w:cstheme="minorHAnsi"/>
        </w:rPr>
        <w:t xml:space="preserve"> them home.  Ex. </w:t>
      </w:r>
      <w:r w:rsidR="00252F2F">
        <w:rPr>
          <w:rFonts w:asciiTheme="minorHAnsi" w:hAnsiTheme="minorHAnsi" w:cstheme="minorHAnsi"/>
        </w:rPr>
        <w:t>14</w:t>
      </w:r>
      <w:r w:rsidRPr="00DA5613">
        <w:rPr>
          <w:rFonts w:asciiTheme="minorHAnsi" w:hAnsiTheme="minorHAnsi" w:cstheme="minorHAnsi"/>
        </w:rPr>
        <w:t xml:space="preserve">.  </w:t>
      </w:r>
      <w:r w:rsidR="00DA5613" w:rsidRPr="00DA5613">
        <w:rPr>
          <w:rFonts w:asciiTheme="minorHAnsi" w:hAnsiTheme="minorHAnsi" w:cstheme="minorHAnsi"/>
        </w:rPr>
        <w:t xml:space="preserve">Plaintiffs </w:t>
      </w:r>
      <w:r w:rsidR="00DA5613" w:rsidRPr="00DA5613">
        <w:rPr>
          <w:rFonts w:asciiTheme="minorHAnsi" w:hAnsiTheme="minorHAnsi" w:cstheme="minorHAnsi"/>
          <w:color w:val="auto"/>
        </w:rPr>
        <w:t xml:space="preserve">M.P. and H.M. have been previously excluded from in-person education this year; M.P. is still not attending in person.  </w:t>
      </w:r>
      <w:r w:rsidRPr="00DA5613">
        <w:rPr>
          <w:rFonts w:asciiTheme="minorHAnsi" w:hAnsiTheme="minorHAnsi" w:cstheme="minorHAnsi"/>
        </w:rPr>
        <w:t>Other Plaintiffs</w:t>
      </w:r>
      <w:r w:rsidR="00DA5613" w:rsidRPr="00DA5613">
        <w:rPr>
          <w:rFonts w:asciiTheme="minorHAnsi" w:hAnsiTheme="minorHAnsi" w:cstheme="minorHAnsi"/>
        </w:rPr>
        <w:t>,</w:t>
      </w:r>
      <w:r w:rsidR="00DA5613" w:rsidRPr="00DA5613">
        <w:rPr>
          <w:rFonts w:asciiTheme="minorHAnsi" w:hAnsiTheme="minorHAnsi" w:cstheme="minorHAnsi"/>
          <w:color w:val="auto"/>
        </w:rPr>
        <w:t xml:space="preserve"> E.T., J.R., and A.M., </w:t>
      </w:r>
      <w:r w:rsidRPr="00DA5613">
        <w:rPr>
          <w:rFonts w:asciiTheme="minorHAnsi" w:hAnsiTheme="minorHAnsi" w:cstheme="minorHAnsi"/>
        </w:rPr>
        <w:t>are attending school because their schools currently require masks</w:t>
      </w:r>
      <w:r w:rsidR="00DA5613" w:rsidRPr="00DA5613">
        <w:rPr>
          <w:rFonts w:asciiTheme="minorHAnsi" w:hAnsiTheme="minorHAnsi" w:cstheme="minorHAnsi"/>
        </w:rPr>
        <w:t xml:space="preserve">, </w:t>
      </w:r>
      <w:r w:rsidR="00DA5613" w:rsidRPr="00DA5613">
        <w:rPr>
          <w:rFonts w:asciiTheme="minorHAnsi" w:hAnsiTheme="minorHAnsi" w:cstheme="minorHAnsi"/>
          <w:color w:val="auto"/>
        </w:rPr>
        <w:t>but will be forced to stay home if masks are not required; H.M. will also be forced home again</w:t>
      </w:r>
      <w:r w:rsidRPr="00DA5613">
        <w:rPr>
          <w:rFonts w:asciiTheme="minorHAnsi" w:hAnsiTheme="minorHAnsi" w:cstheme="minorHAnsi"/>
        </w:rPr>
        <w:t xml:space="preserve">.  </w:t>
      </w:r>
      <w:r w:rsidR="002A21E2">
        <w:rPr>
          <w:rFonts w:asciiTheme="minorHAnsi" w:hAnsiTheme="minorHAnsi" w:cstheme="minorHAnsi"/>
        </w:rPr>
        <w:t>Ex. 14.</w:t>
      </w:r>
      <w:r w:rsidRPr="00DA5613">
        <w:rPr>
          <w:rFonts w:asciiTheme="minorHAnsi" w:hAnsiTheme="minorHAnsi" w:cstheme="minorHAnsi"/>
        </w:rPr>
        <w:t xml:space="preserve">  T</w:t>
      </w:r>
      <w:r w:rsidR="0052109B">
        <w:rPr>
          <w:rFonts w:asciiTheme="minorHAnsi" w:hAnsiTheme="minorHAnsi" w:cstheme="minorHAnsi"/>
        </w:rPr>
        <w:t>wo of</w:t>
      </w:r>
      <w:r w:rsidRPr="00DA5613">
        <w:rPr>
          <w:rFonts w:asciiTheme="minorHAnsi" w:hAnsiTheme="minorHAnsi" w:cstheme="minorHAnsi"/>
        </w:rPr>
        <w:t xml:space="preserve"> Plaintiffs face a substantial risk of injury because Attorney General Paxton has sued their school districts. Ex</w:t>
      </w:r>
      <w:r w:rsidR="002A21E2">
        <w:rPr>
          <w:rFonts w:asciiTheme="minorHAnsi" w:hAnsiTheme="minorHAnsi" w:cstheme="minorHAnsi"/>
        </w:rPr>
        <w:t>s. 14, 29 (Richardson ISD Petition), 33 (Round Rock ISD Petition)</w:t>
      </w:r>
      <w:r w:rsidRPr="00DA5613">
        <w:rPr>
          <w:rFonts w:asciiTheme="minorHAnsi" w:hAnsiTheme="minorHAnsi" w:cstheme="minorHAnsi"/>
        </w:rPr>
        <w:t xml:space="preserve">.  </w:t>
      </w:r>
      <w:r w:rsidR="00DA5613" w:rsidRPr="00DA5613">
        <w:rPr>
          <w:rFonts w:asciiTheme="minorHAnsi" w:hAnsiTheme="minorHAnsi" w:cstheme="minorHAnsi"/>
          <w:color w:val="auto"/>
        </w:rPr>
        <w:t xml:space="preserve">Other Plaintiffs are attending school in districts without masks; these students have been denied equal access to in-person learning because attending school at significant risk of injury is not the same opportunity provided to other children who do not have disabilities.  Ex. </w:t>
      </w:r>
      <w:r w:rsidR="002A21E2">
        <w:rPr>
          <w:rFonts w:asciiTheme="minorHAnsi" w:hAnsiTheme="minorHAnsi" w:cstheme="minorHAnsi"/>
          <w:color w:val="auto"/>
        </w:rPr>
        <w:t>14</w:t>
      </w:r>
      <w:r w:rsidR="00DA5613" w:rsidRPr="00DA5613">
        <w:rPr>
          <w:rFonts w:asciiTheme="minorHAnsi" w:hAnsiTheme="minorHAnsi" w:cstheme="minorHAnsi"/>
          <w:color w:val="auto"/>
        </w:rPr>
        <w:t xml:space="preserve">.  </w:t>
      </w:r>
    </w:p>
    <w:p w14:paraId="1293DAC6" w14:textId="0C6E22D7" w:rsidR="004130C6" w:rsidRPr="00DA5613" w:rsidRDefault="004130C6" w:rsidP="006A5965">
      <w:pPr>
        <w:pStyle w:val="pleadingtls6"/>
      </w:pPr>
      <w:bookmarkStart w:id="135" w:name="_Toc83814464"/>
      <w:bookmarkStart w:id="136" w:name="_Toc83846180"/>
      <w:r w:rsidRPr="00DA5613">
        <w:t>Plaintiff</w:t>
      </w:r>
      <w:r w:rsidR="00200849">
        <w:t>s’</w:t>
      </w:r>
      <w:r w:rsidRPr="00DA5613">
        <w:t xml:space="preserve"> actual or imminent loss of opportunity to attend </w:t>
      </w:r>
      <w:r w:rsidR="00DA5613" w:rsidRPr="00DA5613">
        <w:t xml:space="preserve">and have meaningful access to </w:t>
      </w:r>
      <w:r w:rsidRPr="00DA5613">
        <w:t>in</w:t>
      </w:r>
      <w:r w:rsidR="000F412D">
        <w:t>-</w:t>
      </w:r>
      <w:r w:rsidRPr="00DA5613">
        <w:t xml:space="preserve">person </w:t>
      </w:r>
      <w:r w:rsidR="00DA5613" w:rsidRPr="00DA5613">
        <w:t xml:space="preserve">public school </w:t>
      </w:r>
      <w:r w:rsidRPr="00DA5613">
        <w:t>is an injury sufficient to confer standing.</w:t>
      </w:r>
      <w:bookmarkEnd w:id="135"/>
      <w:bookmarkEnd w:id="136"/>
    </w:p>
    <w:p w14:paraId="06FB8681" w14:textId="7257A180"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An “invasion of a legally protected interest” is sufficient to confer standing.  </w:t>
      </w:r>
      <w:r w:rsidRPr="00DA5613">
        <w:rPr>
          <w:rFonts w:asciiTheme="minorHAnsi" w:hAnsiTheme="minorHAnsi" w:cstheme="minorHAnsi"/>
          <w:i/>
          <w:iCs/>
        </w:rPr>
        <w:t>Gill v. Whitford</w:t>
      </w:r>
      <w:r w:rsidRPr="00DA5613">
        <w:rPr>
          <w:rFonts w:asciiTheme="minorHAnsi" w:hAnsiTheme="minorHAnsi" w:cstheme="minorHAnsi"/>
        </w:rPr>
        <w:t xml:space="preserve">, 138 S.Ct. 1916, 1929 (2018).  The loss of opportunity to attend </w:t>
      </w:r>
      <w:r w:rsidR="00DA5613" w:rsidRPr="00DA5613">
        <w:rPr>
          <w:rFonts w:asciiTheme="minorHAnsi" w:hAnsiTheme="minorHAnsi" w:cstheme="minorHAnsi"/>
        </w:rPr>
        <w:t xml:space="preserve">and have meaningful access to in-person </w:t>
      </w:r>
      <w:r w:rsidRPr="00DA5613">
        <w:rPr>
          <w:rFonts w:asciiTheme="minorHAnsi" w:hAnsiTheme="minorHAnsi" w:cstheme="minorHAnsi"/>
        </w:rPr>
        <w:t xml:space="preserve">public school is a legally protected interest.  </w:t>
      </w:r>
    </w:p>
    <w:p w14:paraId="7A63BBF5" w14:textId="2009D16A"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To begin with, numerous authorities recognize citizens’ interest in receiving a public education.  According to the Texas Constitution, “A general diffusion of knowledge being essential to the preservation of the liberties and rights of the people, it shall be the duty of the Legislature of the State to establish and make suitable provision for the support and maintenance of an efficient system of public free schools.”  Tex. Const. art VII, § 1.  And the Supreme Court has recognized a “student’s legitimate entitlement to a public education as a property interest which is protected by the Due Process Clause.”  </w:t>
      </w:r>
      <w:r w:rsidRPr="00DA5613">
        <w:rPr>
          <w:rFonts w:asciiTheme="minorHAnsi" w:hAnsiTheme="minorHAnsi" w:cstheme="minorHAnsi"/>
          <w:i/>
          <w:iCs/>
        </w:rPr>
        <w:t>Goss v. Lopez</w:t>
      </w:r>
      <w:r w:rsidRPr="00DA5613">
        <w:rPr>
          <w:rFonts w:asciiTheme="minorHAnsi" w:hAnsiTheme="minorHAnsi" w:cstheme="minorHAnsi"/>
        </w:rPr>
        <w:t xml:space="preserve">, 419 U.S. 565, 574 (1975); </w:t>
      </w:r>
      <w:r w:rsidRPr="00DA5613">
        <w:rPr>
          <w:rFonts w:asciiTheme="minorHAnsi" w:hAnsiTheme="minorHAnsi" w:cstheme="minorHAnsi"/>
          <w:i/>
          <w:iCs/>
        </w:rPr>
        <w:t>see also</w:t>
      </w:r>
      <w:r w:rsidRPr="00DA5613">
        <w:rPr>
          <w:rFonts w:asciiTheme="minorHAnsi" w:hAnsiTheme="minorHAnsi" w:cstheme="minorHAnsi"/>
        </w:rPr>
        <w:t xml:space="preserve"> </w:t>
      </w:r>
      <w:r w:rsidRPr="00DA5613">
        <w:rPr>
          <w:rFonts w:asciiTheme="minorHAnsi" w:hAnsiTheme="minorHAnsi" w:cstheme="minorHAnsi"/>
          <w:i/>
          <w:iCs/>
        </w:rPr>
        <w:t>ARC of Iowa v. Reynolds</w:t>
      </w:r>
      <w:r w:rsidRPr="00DA5613">
        <w:rPr>
          <w:rFonts w:asciiTheme="minorHAnsi" w:hAnsiTheme="minorHAnsi" w:cstheme="minorHAnsi"/>
        </w:rPr>
        <w:t xml:space="preserve">, 2021 WL 4166728, at *1 (S.D. Iowa Sept. 13, 2021) (recognizing that denying school-aged children a free public education violates the U.S. Constitution) (citing </w:t>
      </w:r>
      <w:r w:rsidRPr="00DA5613">
        <w:rPr>
          <w:rFonts w:asciiTheme="minorHAnsi" w:hAnsiTheme="minorHAnsi" w:cstheme="minorHAnsi"/>
          <w:i/>
          <w:iCs/>
        </w:rPr>
        <w:t>Plyler v. Doe</w:t>
      </w:r>
      <w:r w:rsidRPr="00DA5613">
        <w:rPr>
          <w:rFonts w:asciiTheme="minorHAnsi" w:hAnsiTheme="minorHAnsi" w:cstheme="minorHAnsi"/>
        </w:rPr>
        <w:t>, 457 U.S. 202, 230–31 (1982)).</w:t>
      </w:r>
    </w:p>
    <w:p w14:paraId="5F2E8F94" w14:textId="21EED662"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Moreover, in passing the Americans with Disabilities Act and the Rehab</w:t>
      </w:r>
      <w:r w:rsidR="00004182">
        <w:rPr>
          <w:rFonts w:asciiTheme="minorHAnsi" w:hAnsiTheme="minorHAnsi" w:cstheme="minorHAnsi"/>
        </w:rPr>
        <w:t>ilitation</w:t>
      </w:r>
      <w:r w:rsidRPr="00DA5613">
        <w:rPr>
          <w:rFonts w:asciiTheme="minorHAnsi" w:hAnsiTheme="minorHAnsi" w:cstheme="minorHAnsi"/>
        </w:rPr>
        <w:t xml:space="preserve"> Act, Congress has recognized that disabled children have an interest in having access to public </w:t>
      </w:r>
      <w:r w:rsidR="00DA5613" w:rsidRPr="00DA5613">
        <w:rPr>
          <w:rFonts w:asciiTheme="minorHAnsi" w:hAnsiTheme="minorHAnsi" w:cstheme="minorHAnsi"/>
        </w:rPr>
        <w:t>school</w:t>
      </w:r>
      <w:r w:rsidRPr="00DA5613">
        <w:rPr>
          <w:rFonts w:asciiTheme="minorHAnsi" w:hAnsiTheme="minorHAnsi" w:cstheme="minorHAnsi"/>
        </w:rPr>
        <w:t xml:space="preserve"> on par with non-disabled children’s access.  According</w:t>
      </w:r>
      <w:r w:rsidR="00004182">
        <w:rPr>
          <w:rFonts w:asciiTheme="minorHAnsi" w:hAnsiTheme="minorHAnsi" w:cstheme="minorHAnsi"/>
        </w:rPr>
        <w:t xml:space="preserve"> to</w:t>
      </w:r>
      <w:r w:rsidRPr="00DA5613">
        <w:rPr>
          <w:rFonts w:asciiTheme="minorHAnsi" w:hAnsiTheme="minorHAnsi" w:cstheme="minorHAnsi"/>
        </w:rPr>
        <w:t xml:space="preserve"> the Fifth Circuit, </w:t>
      </w:r>
    </w:p>
    <w:p w14:paraId="1846F80F" w14:textId="77777777" w:rsidR="004130C6" w:rsidRPr="00DA5613" w:rsidRDefault="004130C6" w:rsidP="00545E56">
      <w:pPr>
        <w:pStyle w:val="NoSpacing"/>
        <w:ind w:left="720" w:right="720"/>
        <w:rPr>
          <w:rFonts w:asciiTheme="minorHAnsi" w:hAnsiTheme="minorHAnsi" w:cstheme="minorHAnsi"/>
        </w:rPr>
      </w:pPr>
      <w:r w:rsidRPr="00DA5613">
        <w:rPr>
          <w:rFonts w:asciiTheme="minorHAnsi" w:hAnsiTheme="minorHAnsi" w:cstheme="minorHAnsi"/>
        </w:rPr>
        <w:t xml:space="preserve">Title II of the ADA, which applies to public entities including public schools, provides that “no qualified individual with a disability shall, by reason of such disability, be excluded from participation in or be denied the benefits of the services, programs or activities of a public entity or be subjected to discrimination by any such entity.”  </w:t>
      </w:r>
    </w:p>
    <w:p w14:paraId="75A72260" w14:textId="77777777" w:rsidR="004130C6" w:rsidRPr="00DA5613" w:rsidRDefault="004130C6" w:rsidP="00545E56">
      <w:pPr>
        <w:pStyle w:val="NoSpacing"/>
        <w:ind w:left="720" w:right="720"/>
        <w:rPr>
          <w:rFonts w:asciiTheme="minorHAnsi" w:hAnsiTheme="minorHAnsi" w:cstheme="minorHAnsi"/>
        </w:rPr>
      </w:pPr>
    </w:p>
    <w:p w14:paraId="27DEAF4B" w14:textId="783B517E"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i/>
          <w:iCs/>
        </w:rPr>
        <w:t>Pace v. Bogalusa City Sch. Bd.</w:t>
      </w:r>
      <w:r w:rsidRPr="00DA5613">
        <w:rPr>
          <w:rFonts w:asciiTheme="minorHAnsi" w:hAnsiTheme="minorHAnsi" w:cstheme="minorHAnsi"/>
        </w:rPr>
        <w:t xml:space="preserve">, 403 F.3d 272, 291 (5th Cir. 2005) (quoting 42 U.S.C. § 12132 (of the ADA) and noting that Section 504 of the </w:t>
      </w:r>
      <w:r w:rsidR="00004182" w:rsidRPr="00DA5613">
        <w:rPr>
          <w:rFonts w:asciiTheme="minorHAnsi" w:hAnsiTheme="minorHAnsi" w:cstheme="minorHAnsi"/>
        </w:rPr>
        <w:t>Rehab</w:t>
      </w:r>
      <w:r w:rsidR="00004182">
        <w:rPr>
          <w:rFonts w:asciiTheme="minorHAnsi" w:hAnsiTheme="minorHAnsi" w:cstheme="minorHAnsi"/>
        </w:rPr>
        <w:t>ilitation</w:t>
      </w:r>
      <w:r w:rsidR="00004182" w:rsidRPr="00DA5613">
        <w:rPr>
          <w:rFonts w:asciiTheme="minorHAnsi" w:hAnsiTheme="minorHAnsi" w:cstheme="minorHAnsi"/>
        </w:rPr>
        <w:t xml:space="preserve"> </w:t>
      </w:r>
      <w:r w:rsidRPr="00DA5613">
        <w:rPr>
          <w:rFonts w:asciiTheme="minorHAnsi" w:hAnsiTheme="minorHAnsi" w:cstheme="minorHAnsi"/>
        </w:rPr>
        <w:t>Act, 29 U.S.C. § 784(a), “contains virtually identical language” to Section 12132).  Plaintiffs have a legally protected interest, therefore, in access to public education on par with non-disabled children.</w:t>
      </w:r>
    </w:p>
    <w:p w14:paraId="7E932CF9" w14:textId="62FA6DE8" w:rsidR="00DA5613"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Here, </w:t>
      </w:r>
      <w:r w:rsidR="00DA5613" w:rsidRPr="00DA5613">
        <w:rPr>
          <w:rFonts w:asciiTheme="minorHAnsi" w:hAnsiTheme="minorHAnsi" w:cstheme="minorHAnsi"/>
          <w:color w:val="auto"/>
        </w:rPr>
        <w:t>the actions of Defendants have</w:t>
      </w:r>
      <w:r w:rsidR="00DA5613" w:rsidRPr="00DA5613">
        <w:rPr>
          <w:rFonts w:asciiTheme="minorHAnsi" w:hAnsiTheme="minorHAnsi" w:cstheme="minorHAnsi"/>
        </w:rPr>
        <w:t xml:space="preserve"> </w:t>
      </w:r>
      <w:r w:rsidRPr="00DA5613">
        <w:rPr>
          <w:rFonts w:asciiTheme="minorHAnsi" w:hAnsiTheme="minorHAnsi" w:cstheme="minorHAnsi"/>
        </w:rPr>
        <w:t>depriv</w:t>
      </w:r>
      <w:r w:rsidR="00DA5613" w:rsidRPr="00DA5613">
        <w:rPr>
          <w:rFonts w:asciiTheme="minorHAnsi" w:hAnsiTheme="minorHAnsi" w:cstheme="minorHAnsi"/>
        </w:rPr>
        <w:t>ed</w:t>
      </w:r>
      <w:r w:rsidRPr="00DA5613">
        <w:rPr>
          <w:rFonts w:asciiTheme="minorHAnsi" w:hAnsiTheme="minorHAnsi" w:cstheme="minorHAnsi"/>
        </w:rPr>
        <w:t xml:space="preserve"> Plaintiffs of the opportunity to attend public school in person </w:t>
      </w:r>
      <w:r w:rsidR="000F412D">
        <w:rPr>
          <w:rFonts w:asciiTheme="minorHAnsi" w:hAnsiTheme="minorHAnsi" w:cstheme="minorHAnsi"/>
        </w:rPr>
        <w:t xml:space="preserve">and are </w:t>
      </w:r>
      <w:r w:rsidRPr="00DA5613">
        <w:rPr>
          <w:rFonts w:asciiTheme="minorHAnsi" w:hAnsiTheme="minorHAnsi" w:cstheme="minorHAnsi"/>
        </w:rPr>
        <w:t>invad</w:t>
      </w:r>
      <w:r w:rsidR="000F412D">
        <w:rPr>
          <w:rFonts w:asciiTheme="minorHAnsi" w:hAnsiTheme="minorHAnsi" w:cstheme="minorHAnsi"/>
        </w:rPr>
        <w:t>ing</w:t>
      </w:r>
      <w:r w:rsidRPr="00DA5613">
        <w:rPr>
          <w:rFonts w:asciiTheme="minorHAnsi" w:hAnsiTheme="minorHAnsi" w:cstheme="minorHAnsi"/>
        </w:rPr>
        <w:t xml:space="preserve"> Plaintiffs’ legally protected interest in access to public </w:t>
      </w:r>
      <w:r w:rsidR="00DA5613" w:rsidRPr="00DA5613">
        <w:rPr>
          <w:rFonts w:asciiTheme="minorHAnsi" w:hAnsiTheme="minorHAnsi" w:cstheme="minorHAnsi"/>
        </w:rPr>
        <w:t xml:space="preserve">school </w:t>
      </w:r>
      <w:r w:rsidRPr="00DA5613">
        <w:rPr>
          <w:rFonts w:asciiTheme="minorHAnsi" w:hAnsiTheme="minorHAnsi" w:cstheme="minorHAnsi"/>
        </w:rPr>
        <w:t xml:space="preserve">on par with non-disabled children. </w:t>
      </w:r>
      <w:r w:rsidR="00DA5613" w:rsidRPr="00DA5613">
        <w:rPr>
          <w:rFonts w:asciiTheme="minorHAnsi" w:hAnsiTheme="minorHAnsi" w:cstheme="minorHAnsi"/>
        </w:rPr>
        <w:t xml:space="preserve"> </w:t>
      </w:r>
      <w:r w:rsidR="00DA5613" w:rsidRPr="00DA5613">
        <w:rPr>
          <w:rFonts w:asciiTheme="minorHAnsi" w:hAnsiTheme="minorHAnsi" w:cstheme="minorHAnsi"/>
          <w:color w:val="auto"/>
        </w:rPr>
        <w:t>Both M.P. and H.M. have missed in-person school this year due to the enforcement of GA-38; the injury is imminent for E.T., J.R., and A.M. who will be pulled from in-person school if the Defendants are permitted to continue the enforcement actions.  Ex.</w:t>
      </w:r>
      <w:r w:rsidR="002A21E2">
        <w:rPr>
          <w:rFonts w:asciiTheme="minorHAnsi" w:hAnsiTheme="minorHAnsi" w:cstheme="minorHAnsi"/>
          <w:color w:val="auto"/>
        </w:rPr>
        <w:t xml:space="preserve"> 14</w:t>
      </w:r>
      <w:r w:rsidR="00DA5613" w:rsidRPr="00DA5613">
        <w:rPr>
          <w:rFonts w:asciiTheme="minorHAnsi" w:hAnsiTheme="minorHAnsi" w:cstheme="minorHAnsi"/>
          <w:color w:val="auto"/>
        </w:rPr>
        <w:t>.  Defendant TEA has acknowledged that students, including students with disabilities</w:t>
      </w:r>
      <w:r w:rsidR="000F412D">
        <w:rPr>
          <w:rFonts w:asciiTheme="minorHAnsi" w:hAnsiTheme="minorHAnsi" w:cstheme="minorHAnsi"/>
          <w:color w:val="auto"/>
        </w:rPr>
        <w:t>,</w:t>
      </w:r>
      <w:r w:rsidR="00DA5613" w:rsidRPr="00DA5613">
        <w:rPr>
          <w:rFonts w:asciiTheme="minorHAnsi" w:hAnsiTheme="minorHAnsi" w:cstheme="minorHAnsi"/>
          <w:color w:val="auto"/>
        </w:rPr>
        <w:t xml:space="preserve"> suffer when they lose in-person instruction, which is confirmed by Plaintiffs’ Experts.  </w:t>
      </w:r>
      <w:r w:rsidR="002A21E2">
        <w:rPr>
          <w:rFonts w:asciiTheme="minorHAnsi" w:hAnsiTheme="minorHAnsi" w:cstheme="minorHAnsi"/>
          <w:color w:val="auto"/>
        </w:rPr>
        <w:t xml:space="preserve">Ex. 159 at 17:14-18:9 (M. Aghazadian Depo); </w:t>
      </w:r>
      <w:r w:rsidR="00DA5613" w:rsidRPr="00DA5613">
        <w:rPr>
          <w:rFonts w:asciiTheme="minorHAnsi" w:hAnsiTheme="minorHAnsi" w:cstheme="minorHAnsi"/>
          <w:color w:val="auto"/>
        </w:rPr>
        <w:t xml:space="preserve">Ex. </w:t>
      </w:r>
      <w:r w:rsidR="002A21E2">
        <w:rPr>
          <w:rFonts w:asciiTheme="minorHAnsi" w:hAnsiTheme="minorHAnsi" w:cstheme="minorHAnsi"/>
          <w:color w:val="auto"/>
        </w:rPr>
        <w:t>163 (TEA Releases Spring 2021 STAAR Grades)</w:t>
      </w:r>
      <w:r w:rsidR="00DA5613" w:rsidRPr="00DA5613">
        <w:rPr>
          <w:rFonts w:asciiTheme="minorHAnsi" w:hAnsiTheme="minorHAnsi" w:cstheme="minorHAnsi"/>
          <w:color w:val="auto"/>
        </w:rPr>
        <w:t xml:space="preserve">; Ex. </w:t>
      </w:r>
      <w:r w:rsidR="002A21E2">
        <w:rPr>
          <w:rFonts w:asciiTheme="minorHAnsi" w:hAnsiTheme="minorHAnsi" w:cstheme="minorHAnsi"/>
          <w:color w:val="auto"/>
        </w:rPr>
        <w:t>20</w:t>
      </w:r>
      <w:r w:rsidR="006413B4">
        <w:rPr>
          <w:rFonts w:asciiTheme="minorHAnsi" w:hAnsiTheme="minorHAnsi" w:cstheme="minorHAnsi"/>
          <w:color w:val="auto"/>
        </w:rPr>
        <w:t>,</w:t>
      </w:r>
      <w:r w:rsidR="00DA5613" w:rsidRPr="00DA5613">
        <w:rPr>
          <w:rFonts w:asciiTheme="minorHAnsi" w:hAnsiTheme="minorHAnsi" w:cstheme="minorHAnsi"/>
          <w:color w:val="auto"/>
        </w:rPr>
        <w:t xml:space="preserve"> ¶¶ 13-18 (Sherwood Expert Report); Ex. </w:t>
      </w:r>
      <w:r w:rsidR="00931392">
        <w:rPr>
          <w:rFonts w:asciiTheme="minorHAnsi" w:hAnsiTheme="minorHAnsi" w:cstheme="minorHAnsi"/>
          <w:color w:val="auto"/>
        </w:rPr>
        <w:t>21</w:t>
      </w:r>
      <w:r w:rsidR="006413B4">
        <w:rPr>
          <w:rFonts w:asciiTheme="minorHAnsi" w:hAnsiTheme="minorHAnsi" w:cstheme="minorHAnsi"/>
          <w:color w:val="auto"/>
        </w:rPr>
        <w:t>,</w:t>
      </w:r>
      <w:r w:rsidR="00931392">
        <w:rPr>
          <w:rFonts w:asciiTheme="minorHAnsi" w:hAnsiTheme="minorHAnsi" w:cstheme="minorHAnsi"/>
          <w:color w:val="auto"/>
        </w:rPr>
        <w:t xml:space="preserve"> </w:t>
      </w:r>
      <w:r w:rsidR="00F453A5">
        <w:rPr>
          <w:rFonts w:asciiTheme="minorHAnsi" w:hAnsiTheme="minorHAnsi" w:cstheme="minorHAnsi"/>
          <w:color w:val="auto"/>
        </w:rPr>
        <w:t>¶</w:t>
      </w:r>
      <w:r w:rsidR="00DA5613" w:rsidRPr="00DA5613">
        <w:rPr>
          <w:rFonts w:asciiTheme="minorHAnsi" w:hAnsiTheme="minorHAnsi" w:cstheme="minorHAnsi"/>
          <w:color w:val="auto"/>
        </w:rPr>
        <w:t xml:space="preserve">¶ 14-17 (Sandbank Expert Report).  For E.S. and S.P., the actions of Defendants have denied them equal access to in-person learning.  E.S. attends in-person school in a district that came into compliance with GA-38 by dropping its mask mandate; S.P. will be forced to attend in-person school in a district without masks if the Defendants’ enforcement lawsuit against his district is successful.  Ex. </w:t>
      </w:r>
      <w:r w:rsidR="00852C87">
        <w:rPr>
          <w:rFonts w:asciiTheme="minorHAnsi" w:hAnsiTheme="minorHAnsi" w:cstheme="minorHAnsi"/>
          <w:color w:val="auto"/>
        </w:rPr>
        <w:t>14</w:t>
      </w:r>
      <w:r w:rsidR="00DA5613" w:rsidRPr="00DA5613">
        <w:rPr>
          <w:rFonts w:asciiTheme="minorHAnsi" w:hAnsiTheme="minorHAnsi" w:cstheme="minorHAnsi"/>
          <w:color w:val="auto"/>
        </w:rPr>
        <w:t>.  They are attending at significant risk to their health, which is not the same opportunity provided to students without disabilities.</w:t>
      </w:r>
      <w:r w:rsidR="00DA5613" w:rsidRPr="00DA5613">
        <w:rPr>
          <w:rStyle w:val="FootnoteReference"/>
          <w:rFonts w:asciiTheme="minorHAnsi" w:hAnsiTheme="minorHAnsi" w:cstheme="minorHAnsi"/>
          <w:color w:val="auto"/>
        </w:rPr>
        <w:footnoteReference w:id="40"/>
      </w:r>
      <w:r w:rsidR="00DA5613" w:rsidRPr="00DA5613">
        <w:rPr>
          <w:rFonts w:asciiTheme="minorHAnsi" w:hAnsiTheme="minorHAnsi" w:cstheme="minorHAnsi"/>
          <w:color w:val="auto"/>
        </w:rPr>
        <w:t xml:space="preserve">  </w:t>
      </w:r>
    </w:p>
    <w:p w14:paraId="7E836F64" w14:textId="6AC8328E" w:rsidR="007C735A" w:rsidRDefault="007C735A" w:rsidP="007C735A">
      <w:pPr>
        <w:spacing w:line="480" w:lineRule="auto"/>
        <w:ind w:firstLine="720"/>
        <w:rPr>
          <w:rFonts w:asciiTheme="minorHAnsi" w:hAnsiTheme="minorHAnsi" w:cstheme="minorHAnsi"/>
          <w:color w:val="auto"/>
        </w:rPr>
      </w:pPr>
      <w:bookmarkStart w:id="138" w:name="_Hlk83821599"/>
      <w:r>
        <w:rPr>
          <w:rFonts w:cs="Times New Roman"/>
        </w:rPr>
        <w:t>TEA has noted that students who learn virtually “</w:t>
      </w:r>
      <w:r>
        <w:rPr>
          <w:rFonts w:eastAsia="Times New Roman" w:cs="Times New Roman"/>
          <w:color w:val="auto"/>
        </w:rPr>
        <w:t xml:space="preserve">didn't learn as much, in short, by a pretty significant amount in both math and reading across all grade levels." </w:t>
      </w:r>
      <w:r>
        <w:rPr>
          <w:rFonts w:asciiTheme="minorHAnsi" w:hAnsiTheme="minorHAnsi" w:cstheme="minorHAnsi"/>
        </w:rPr>
        <w:t xml:space="preserve">Ex. </w:t>
      </w:r>
      <w:r w:rsidR="00852C87">
        <w:rPr>
          <w:rFonts w:asciiTheme="minorHAnsi" w:hAnsiTheme="minorHAnsi" w:cstheme="minorHAnsi"/>
        </w:rPr>
        <w:t>159</w:t>
      </w:r>
      <w:r>
        <w:rPr>
          <w:rFonts w:asciiTheme="minorHAnsi" w:hAnsiTheme="minorHAnsi" w:cstheme="minorHAnsi"/>
        </w:rPr>
        <w:t xml:space="preserve"> at 17:24-18:2 (M. Aghazadian Depo).  </w:t>
      </w:r>
      <w:r>
        <w:rPr>
          <w:rFonts w:asciiTheme="minorHAnsi" w:hAnsiTheme="minorHAnsi" w:cstheme="minorHAnsi"/>
          <w:color w:val="auto"/>
        </w:rPr>
        <w:t xml:space="preserve">Plaintiffs’ Experts concur with Defendant TEA about the harms of virtual learning and highlight the unique harms Plaintiffs as students with disabilities suffer when they lose in-person instruction.  Margaret Sherwood has explained “[w]hy Students with Disabilities Need Access to In-Person Instruction,” Ex. </w:t>
      </w:r>
      <w:r w:rsidR="00852C87">
        <w:rPr>
          <w:rFonts w:asciiTheme="minorHAnsi" w:hAnsiTheme="minorHAnsi" w:cstheme="minorHAnsi"/>
          <w:color w:val="auto"/>
        </w:rPr>
        <w:t>20</w:t>
      </w:r>
      <w:r>
        <w:rPr>
          <w:rFonts w:asciiTheme="minorHAnsi" w:hAnsiTheme="minorHAnsi" w:cstheme="minorHAnsi"/>
          <w:color w:val="auto"/>
        </w:rPr>
        <w:t xml:space="preserve"> at page 2, in her report, explaining: “In-person instruction for students with disabilities has been widely researched, and service providers are trained in how to provide this instruction in a face-to-face instructional environment. Similar guidance and research does not yet exist for providing virtual instruction to students with significant academic, developmental, social, and behavioral needs,” </w:t>
      </w:r>
      <w:r>
        <w:rPr>
          <w:rFonts w:asciiTheme="minorHAnsi" w:hAnsiTheme="minorHAnsi" w:cstheme="minorHAnsi"/>
          <w:i/>
          <w:iCs/>
          <w:color w:val="auto"/>
        </w:rPr>
        <w:t>id.</w:t>
      </w:r>
      <w:r w:rsidR="001716BC">
        <w:rPr>
          <w:rFonts w:asciiTheme="minorHAnsi" w:hAnsiTheme="minorHAnsi" w:cstheme="minorHAnsi"/>
          <w:color w:val="auto"/>
        </w:rPr>
        <w:t>,</w:t>
      </w:r>
      <w:r>
        <w:rPr>
          <w:rFonts w:asciiTheme="minorHAnsi" w:hAnsiTheme="minorHAnsi" w:cstheme="minorHAnsi"/>
          <w:color w:val="auto"/>
        </w:rPr>
        <w:t xml:space="preserve"> ¶ 14. She went on to explain particular short comings of virtual instruction for students with behavioral needs, social skills deficits, and developmental needs. </w:t>
      </w:r>
      <w:r w:rsidRPr="00852C87">
        <w:rPr>
          <w:rFonts w:asciiTheme="minorHAnsi" w:hAnsiTheme="minorHAnsi" w:cstheme="minorHAnsi"/>
          <w:i/>
          <w:iCs/>
          <w:color w:val="auto"/>
        </w:rPr>
        <w:t>Id</w:t>
      </w:r>
      <w:r>
        <w:rPr>
          <w:rFonts w:asciiTheme="minorHAnsi" w:hAnsiTheme="minorHAnsi" w:cstheme="minorHAnsi"/>
          <w:color w:val="auto"/>
        </w:rPr>
        <w:t>.</w:t>
      </w:r>
      <w:r w:rsidR="001716BC">
        <w:rPr>
          <w:rFonts w:asciiTheme="minorHAnsi" w:hAnsiTheme="minorHAnsi" w:cstheme="minorHAnsi"/>
          <w:color w:val="auto"/>
        </w:rPr>
        <w:t>,</w:t>
      </w:r>
      <w:r>
        <w:rPr>
          <w:rFonts w:asciiTheme="minorHAnsi" w:hAnsiTheme="minorHAnsi" w:cstheme="minorHAnsi"/>
          <w:color w:val="auto"/>
        </w:rPr>
        <w:t xml:space="preserve"> ¶ 15-16.  She concluded saying, “It is my opinion based on experience and observations that virtual instruction has a similar regressive impact on students with disabilities that we see when students are not attending school in person, such as summer break or disability-related absences.” </w:t>
      </w:r>
      <w:r w:rsidRPr="00852C87">
        <w:rPr>
          <w:rFonts w:asciiTheme="minorHAnsi" w:hAnsiTheme="minorHAnsi" w:cstheme="minorHAnsi"/>
          <w:i/>
          <w:color w:val="auto"/>
        </w:rPr>
        <w:t>Id</w:t>
      </w:r>
      <w:r>
        <w:rPr>
          <w:rFonts w:asciiTheme="minorHAnsi" w:hAnsiTheme="minorHAnsi" w:cstheme="minorHAnsi"/>
          <w:i/>
          <w:iCs/>
          <w:color w:val="auto"/>
        </w:rPr>
        <w:t>.</w:t>
      </w:r>
      <w:r w:rsidR="001716BC">
        <w:rPr>
          <w:rFonts w:asciiTheme="minorHAnsi" w:hAnsiTheme="minorHAnsi" w:cstheme="minorHAnsi"/>
          <w:color w:val="auto"/>
        </w:rPr>
        <w:t>,</w:t>
      </w:r>
      <w:r>
        <w:rPr>
          <w:rFonts w:asciiTheme="minorHAnsi" w:hAnsiTheme="minorHAnsi" w:cstheme="minorHAnsi"/>
          <w:color w:val="auto"/>
        </w:rPr>
        <w:t xml:space="preserve"> ¶ 18.  </w:t>
      </w:r>
    </w:p>
    <w:p w14:paraId="13553B3A" w14:textId="1D486880" w:rsidR="007C735A" w:rsidRDefault="007C735A" w:rsidP="007C735A">
      <w:pPr>
        <w:spacing w:line="480" w:lineRule="auto"/>
        <w:ind w:firstLine="720"/>
        <w:rPr>
          <w:rFonts w:asciiTheme="minorHAnsi" w:hAnsiTheme="minorHAnsi" w:cstheme="minorHAnsi"/>
        </w:rPr>
      </w:pPr>
      <w:r>
        <w:rPr>
          <w:rFonts w:asciiTheme="minorHAnsi" w:hAnsiTheme="minorHAnsi" w:cstheme="minorHAnsi"/>
        </w:rPr>
        <w:t xml:space="preserve">Professor Micheal Sandbank, an expert on the importance of in-person schooling unique to disabled children, supported Ms. Sherwood’s conclusions, pointing to research finding that remote instruction was not meeting the needs of students with disabilities, that attendance was lower for students with disabilities in virtual instruction than for those attending in-person, and that vast majority of evidence-baseed strategies for teaching students with disabilities have only been evidence based in in-person formats. Ex. </w:t>
      </w:r>
      <w:r w:rsidR="00852C87">
        <w:rPr>
          <w:rFonts w:asciiTheme="minorHAnsi" w:hAnsiTheme="minorHAnsi" w:cstheme="minorHAnsi"/>
        </w:rPr>
        <w:t>21</w:t>
      </w:r>
      <w:r w:rsidR="001716BC">
        <w:rPr>
          <w:rFonts w:asciiTheme="minorHAnsi" w:hAnsiTheme="minorHAnsi" w:cstheme="minorHAnsi"/>
        </w:rPr>
        <w:t>,</w:t>
      </w:r>
      <w:r>
        <w:rPr>
          <w:rFonts w:asciiTheme="minorHAnsi" w:hAnsiTheme="minorHAnsi" w:cstheme="minorHAnsi"/>
        </w:rPr>
        <w:t xml:space="preserve"> ¶¶ 14–17.</w:t>
      </w:r>
    </w:p>
    <w:bookmarkEnd w:id="138"/>
    <w:p w14:paraId="4B607DA5" w14:textId="3FB8E031" w:rsidR="004130C6" w:rsidRPr="00DA5613" w:rsidRDefault="004130C6" w:rsidP="0052109B">
      <w:pPr>
        <w:pStyle w:val="NoSpacing"/>
        <w:spacing w:line="480" w:lineRule="auto"/>
        <w:ind w:firstLine="720"/>
        <w:rPr>
          <w:rFonts w:asciiTheme="minorHAnsi" w:hAnsiTheme="minorHAnsi" w:cstheme="minorHAnsi"/>
        </w:rPr>
      </w:pPr>
      <w:r w:rsidRPr="00DA5613">
        <w:rPr>
          <w:rFonts w:asciiTheme="minorHAnsi" w:hAnsiTheme="minorHAnsi" w:cstheme="minorHAnsi"/>
        </w:rPr>
        <w:t xml:space="preserve">Overall, Ms. Sherwood’s and Professor Sandbank’s opinions </w:t>
      </w:r>
      <w:r w:rsidR="00DA5613" w:rsidRPr="00DA5613">
        <w:rPr>
          <w:rFonts w:asciiTheme="minorHAnsi" w:hAnsiTheme="minorHAnsi" w:cstheme="minorHAnsi"/>
        </w:rPr>
        <w:t xml:space="preserve">further </w:t>
      </w:r>
      <w:r w:rsidRPr="00DA5613">
        <w:rPr>
          <w:rFonts w:asciiTheme="minorHAnsi" w:hAnsiTheme="minorHAnsi" w:cstheme="minorHAnsi"/>
        </w:rPr>
        <w:t xml:space="preserve">show that, given Plaintiffs’ disabilities, depriving Plaintiffs of the opportunity to attend school in person </w:t>
      </w:r>
      <w:r w:rsidR="00DA5613" w:rsidRPr="00DA5613">
        <w:rPr>
          <w:rFonts w:asciiTheme="minorHAnsi" w:hAnsiTheme="minorHAnsi" w:cstheme="minorHAnsi"/>
        </w:rPr>
        <w:t xml:space="preserve">invades Plaintiffs’ legally protected interest in access to public education on par with non-disabled children.  </w:t>
      </w:r>
      <w:r w:rsidRPr="00DA5613">
        <w:rPr>
          <w:rFonts w:asciiTheme="minorHAnsi" w:hAnsiTheme="minorHAnsi" w:cstheme="minorHAnsi"/>
        </w:rPr>
        <w:t xml:space="preserve">Depriving Plaintiffs of the opportunity to attend </w:t>
      </w:r>
      <w:r w:rsidR="00DA5613" w:rsidRPr="00DA5613">
        <w:rPr>
          <w:rFonts w:asciiTheme="minorHAnsi" w:hAnsiTheme="minorHAnsi" w:cstheme="minorHAnsi"/>
        </w:rPr>
        <w:t>and have meaningful access to</w:t>
      </w:r>
      <w:r w:rsidRPr="00DA5613">
        <w:rPr>
          <w:rFonts w:asciiTheme="minorHAnsi" w:hAnsiTheme="minorHAnsi" w:cstheme="minorHAnsi"/>
        </w:rPr>
        <w:t xml:space="preserve"> in</w:t>
      </w:r>
      <w:r w:rsidR="000F412D">
        <w:rPr>
          <w:rFonts w:asciiTheme="minorHAnsi" w:hAnsiTheme="minorHAnsi" w:cstheme="minorHAnsi"/>
        </w:rPr>
        <w:t>-</w:t>
      </w:r>
      <w:r w:rsidRPr="00DA5613">
        <w:rPr>
          <w:rFonts w:asciiTheme="minorHAnsi" w:hAnsiTheme="minorHAnsi" w:cstheme="minorHAnsi"/>
        </w:rPr>
        <w:t xml:space="preserve">person </w:t>
      </w:r>
      <w:r w:rsidR="00DA5613" w:rsidRPr="00DA5613">
        <w:rPr>
          <w:rFonts w:asciiTheme="minorHAnsi" w:hAnsiTheme="minorHAnsi" w:cstheme="minorHAnsi"/>
        </w:rPr>
        <w:t xml:space="preserve">public school </w:t>
      </w:r>
      <w:r w:rsidRPr="00DA5613">
        <w:rPr>
          <w:rFonts w:asciiTheme="minorHAnsi" w:hAnsiTheme="minorHAnsi" w:cstheme="minorHAnsi"/>
        </w:rPr>
        <w:t xml:space="preserve">is an injury sufficient to confer standing on Plaintiffs.  </w:t>
      </w:r>
    </w:p>
    <w:p w14:paraId="4FC0FD14" w14:textId="6637B1FA" w:rsidR="004130C6" w:rsidRPr="00DA5613" w:rsidRDefault="004130C6" w:rsidP="006A5965">
      <w:pPr>
        <w:pStyle w:val="pleadingtls6"/>
      </w:pPr>
      <w:bookmarkStart w:id="139" w:name="_Toc83814465"/>
      <w:bookmarkStart w:id="140" w:name="_Toc83846181"/>
      <w:r w:rsidRPr="00DA5613">
        <w:t xml:space="preserve">Plaintiffs have been deprived of the </w:t>
      </w:r>
      <w:r w:rsidR="00DA5613" w:rsidRPr="00DA5613">
        <w:t>opportunity to attend and have meaningful access to in</w:t>
      </w:r>
      <w:r w:rsidR="00200849">
        <w:t>-</w:t>
      </w:r>
      <w:r w:rsidR="00DA5613" w:rsidRPr="00DA5613">
        <w:t>person public school</w:t>
      </w:r>
      <w:r w:rsidRPr="00DA5613">
        <w:t>.</w:t>
      </w:r>
      <w:bookmarkEnd w:id="139"/>
      <w:bookmarkEnd w:id="140"/>
    </w:p>
    <w:p w14:paraId="294C5578" w14:textId="3D559BE8"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b/>
          <w:bCs/>
        </w:rPr>
        <w:tab/>
      </w:r>
      <w:r w:rsidRPr="00DA5613">
        <w:rPr>
          <w:rFonts w:asciiTheme="minorHAnsi" w:hAnsiTheme="minorHAnsi" w:cstheme="minorHAnsi"/>
        </w:rPr>
        <w:t>Circumstances in which Plaintiffs</w:t>
      </w:r>
      <w:r w:rsidR="00DA5613" w:rsidRPr="00DA5613">
        <w:rPr>
          <w:rFonts w:asciiTheme="minorHAnsi" w:hAnsiTheme="minorHAnsi" w:cstheme="minorHAnsi"/>
        </w:rPr>
        <w:t>’</w:t>
      </w:r>
      <w:r w:rsidRPr="00DA5613">
        <w:rPr>
          <w:rFonts w:asciiTheme="minorHAnsi" w:hAnsiTheme="minorHAnsi" w:cstheme="minorHAnsi"/>
        </w:rPr>
        <w:t xml:space="preserve"> schools cannot require anyone to wear a mask deprive Plaintiffs of the opportunity to attend </w:t>
      </w:r>
      <w:r w:rsidR="00DA5613" w:rsidRPr="00DA5613">
        <w:rPr>
          <w:rFonts w:asciiTheme="minorHAnsi" w:hAnsiTheme="minorHAnsi" w:cstheme="minorHAnsi"/>
        </w:rPr>
        <w:t xml:space="preserve">and have meaningful access to </w:t>
      </w:r>
      <w:r w:rsidRPr="00DA5613">
        <w:rPr>
          <w:rFonts w:asciiTheme="minorHAnsi" w:hAnsiTheme="minorHAnsi" w:cstheme="minorHAnsi"/>
        </w:rPr>
        <w:t xml:space="preserve">school in person.  Dr. Edward Septimus has submitted an expert report on behalf of Plaintiffs in this case that explains why masks are an effective means of reducing COVID-19 transmission.  </w:t>
      </w:r>
      <w:r w:rsidRPr="00DA5613">
        <w:rPr>
          <w:rFonts w:asciiTheme="minorHAnsi" w:hAnsiTheme="minorHAnsi" w:cstheme="minorHAnsi"/>
          <w:i/>
          <w:iCs/>
        </w:rPr>
        <w:t xml:space="preserve">See generally </w:t>
      </w:r>
      <w:r w:rsidRPr="00DA5613">
        <w:rPr>
          <w:rFonts w:asciiTheme="minorHAnsi" w:hAnsiTheme="minorHAnsi" w:cstheme="minorHAnsi"/>
        </w:rPr>
        <w:t xml:space="preserve">Ex. </w:t>
      </w:r>
      <w:r w:rsidR="00852C87">
        <w:rPr>
          <w:rFonts w:asciiTheme="minorHAnsi" w:hAnsiTheme="minorHAnsi" w:cstheme="minorHAnsi"/>
        </w:rPr>
        <w:t>17</w:t>
      </w:r>
      <w:r w:rsidRPr="00DA5613">
        <w:rPr>
          <w:rFonts w:asciiTheme="minorHAnsi" w:hAnsiTheme="minorHAnsi" w:cstheme="minorHAnsi"/>
        </w:rPr>
        <w:t>.  Moreover, Dr. Benjamin Greenberg has submitted an expert report that explains why disabled children like the Plaintiffs, given Plaintiffs</w:t>
      </w:r>
      <w:r w:rsidR="000F412D">
        <w:rPr>
          <w:rFonts w:asciiTheme="minorHAnsi" w:hAnsiTheme="minorHAnsi" w:cstheme="minorHAnsi"/>
        </w:rPr>
        <w:t>’</w:t>
      </w:r>
      <w:r w:rsidRPr="00DA5613">
        <w:rPr>
          <w:rFonts w:asciiTheme="minorHAnsi" w:hAnsiTheme="minorHAnsi" w:cstheme="minorHAnsi"/>
        </w:rPr>
        <w:t xml:space="preserve"> medical conditions, face a higher risk of contracting COVID-19 and a higher risk of facing severe o</w:t>
      </w:r>
      <w:r w:rsidR="000F412D">
        <w:rPr>
          <w:rFonts w:asciiTheme="minorHAnsi" w:hAnsiTheme="minorHAnsi" w:cstheme="minorHAnsi"/>
        </w:rPr>
        <w:t>r</w:t>
      </w:r>
      <w:r w:rsidRPr="00DA5613">
        <w:rPr>
          <w:rFonts w:asciiTheme="minorHAnsi" w:hAnsiTheme="minorHAnsi" w:cstheme="minorHAnsi"/>
        </w:rPr>
        <w:t xml:space="preserve"> fatal symptoms from COVID-19 than non-disabled children.  Ex. </w:t>
      </w:r>
      <w:r w:rsidR="00852C87">
        <w:rPr>
          <w:rFonts w:asciiTheme="minorHAnsi" w:hAnsiTheme="minorHAnsi" w:cstheme="minorHAnsi"/>
        </w:rPr>
        <w:t>18</w:t>
      </w:r>
      <w:r w:rsidR="001716BC">
        <w:rPr>
          <w:rFonts w:asciiTheme="minorHAnsi" w:hAnsiTheme="minorHAnsi" w:cstheme="minorHAnsi"/>
        </w:rPr>
        <w:t>,</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xml:space="preserve">¶ 13–15.  Dr. Greenberg has </w:t>
      </w:r>
      <w:r w:rsidR="000F412D">
        <w:rPr>
          <w:rFonts w:asciiTheme="minorHAnsi" w:hAnsiTheme="minorHAnsi" w:cstheme="minorHAnsi"/>
        </w:rPr>
        <w:t xml:space="preserve">also </w:t>
      </w:r>
      <w:r w:rsidRPr="00DA5613">
        <w:rPr>
          <w:rFonts w:asciiTheme="minorHAnsi" w:hAnsiTheme="minorHAnsi" w:cstheme="minorHAnsi"/>
        </w:rPr>
        <w:t xml:space="preserve">explained why requiring masks in school is necessary to protect children with disabilities like Plaintiffs.  </w:t>
      </w:r>
      <w:r w:rsidRPr="00DA5613">
        <w:rPr>
          <w:rFonts w:asciiTheme="minorHAnsi" w:hAnsiTheme="minorHAnsi" w:cstheme="minorHAnsi"/>
          <w:i/>
          <w:iCs/>
        </w:rPr>
        <w:t>Id.</w:t>
      </w:r>
      <w:r w:rsidR="001716BC">
        <w:rPr>
          <w:rFonts w:asciiTheme="minorHAnsi" w:hAnsiTheme="minorHAnsi" w:cstheme="minorHAnsi"/>
        </w:rPr>
        <w:t>,</w:t>
      </w:r>
      <w:r w:rsidRPr="00DA5613">
        <w:rPr>
          <w:rFonts w:asciiTheme="minorHAnsi" w:hAnsiTheme="minorHAnsi" w:cstheme="minorHAnsi"/>
        </w:rPr>
        <w:t xml:space="preserve"> ¶¶ 16–23.  Overall, Dr. Greenberg concluded,</w:t>
      </w:r>
    </w:p>
    <w:p w14:paraId="7077AC51" w14:textId="77777777" w:rsidR="004130C6" w:rsidRPr="00DA5613" w:rsidRDefault="004130C6" w:rsidP="00545E56">
      <w:pPr>
        <w:autoSpaceDE w:val="0"/>
        <w:autoSpaceDN w:val="0"/>
        <w:adjustRightInd w:val="0"/>
        <w:ind w:left="720" w:right="720"/>
        <w:rPr>
          <w:rFonts w:asciiTheme="minorHAnsi" w:hAnsiTheme="minorHAnsi" w:cstheme="minorHAnsi"/>
        </w:rPr>
      </w:pPr>
      <w:r w:rsidRPr="00DA5613">
        <w:rPr>
          <w:rFonts w:asciiTheme="minorHAnsi" w:hAnsiTheme="minorHAnsi" w:cstheme="minorHAnsi"/>
        </w:rPr>
        <w:t>Thus, the scientific evidence overwhelmingly supports the conclusion that masks are an effective means of protecting people from the spread of the virus and from severe symptoms caused by the virus. As such, I believe that mask requirements in schools are necessary to protect children like the Plaintiffs from the virus. A child, at least like those among the Plaintiffs, would be safer from the virus staying at home than going to a school with a mask-optional policy.</w:t>
      </w:r>
    </w:p>
    <w:p w14:paraId="3A1A8375" w14:textId="77777777" w:rsidR="004130C6" w:rsidRPr="00DA5613" w:rsidRDefault="004130C6" w:rsidP="00545E56">
      <w:pPr>
        <w:autoSpaceDE w:val="0"/>
        <w:autoSpaceDN w:val="0"/>
        <w:adjustRightInd w:val="0"/>
        <w:ind w:left="720" w:right="720"/>
        <w:rPr>
          <w:rFonts w:asciiTheme="minorHAnsi" w:hAnsiTheme="minorHAnsi" w:cstheme="minorHAnsi"/>
        </w:rPr>
      </w:pPr>
    </w:p>
    <w:p w14:paraId="4F6D3DA2" w14:textId="184AD572" w:rsidR="00DA5613" w:rsidRPr="00DA5613" w:rsidRDefault="004130C6" w:rsidP="00545E56">
      <w:pPr>
        <w:autoSpaceDE w:val="0"/>
        <w:autoSpaceDN w:val="0"/>
        <w:adjustRightInd w:val="0"/>
        <w:spacing w:line="480" w:lineRule="auto"/>
        <w:rPr>
          <w:rFonts w:asciiTheme="minorHAnsi" w:hAnsiTheme="minorHAnsi" w:cstheme="minorHAnsi"/>
        </w:rPr>
      </w:pPr>
      <w:r w:rsidRPr="00DA5613">
        <w:rPr>
          <w:rFonts w:asciiTheme="minorHAnsi" w:hAnsiTheme="minorHAnsi" w:cstheme="minorHAnsi"/>
          <w:i/>
          <w:iCs/>
        </w:rPr>
        <w:t>Id.</w:t>
      </w:r>
      <w:r w:rsidR="001716BC">
        <w:rPr>
          <w:rFonts w:asciiTheme="minorHAnsi" w:hAnsiTheme="minorHAnsi" w:cstheme="minorHAnsi"/>
        </w:rPr>
        <w:t>,</w:t>
      </w:r>
      <w:r w:rsidRPr="00DA5613">
        <w:rPr>
          <w:rFonts w:asciiTheme="minorHAnsi" w:hAnsiTheme="minorHAnsi" w:cstheme="minorHAnsi"/>
        </w:rPr>
        <w:t xml:space="preserve"> ¶ 23.  Thus, because (1) Plaintiffs face a heightened risk of contracting and suffering severe and fatal symptoms from COVID-19 because of their medical conditions, (2) “mask requirements in schools are necessary to protect children like the Plaintiffs from the virus,” and (3) “[a] child, at least like those among the Plaintiffs, would be safer from the virus staying at home than going to a school with a mask-optional policy,” </w:t>
      </w:r>
      <w:r w:rsidR="00DA5613" w:rsidRPr="00DA5613">
        <w:rPr>
          <w:rFonts w:asciiTheme="minorHAnsi" w:hAnsiTheme="minorHAnsi" w:cstheme="minorHAnsi"/>
        </w:rPr>
        <w:t>prohibiting Plaintiffs’ schools from requiring masks d</w:t>
      </w:r>
      <w:r w:rsidR="00DA5613" w:rsidRPr="00DA5613">
        <w:rPr>
          <w:rFonts w:asciiTheme="minorHAnsi" w:hAnsiTheme="minorHAnsi" w:cstheme="minorHAnsi"/>
          <w:color w:val="auto"/>
        </w:rPr>
        <w:t xml:space="preserve">enies Plaintiffs </w:t>
      </w:r>
      <w:r w:rsidR="00DA5613" w:rsidRPr="00DA5613">
        <w:rPr>
          <w:rFonts w:asciiTheme="minorHAnsi" w:hAnsiTheme="minorHAnsi" w:cstheme="minorHAnsi"/>
        </w:rPr>
        <w:t xml:space="preserve">the opportunity to attend and have </w:t>
      </w:r>
      <w:r w:rsidR="00DA5613" w:rsidRPr="00DA5613">
        <w:rPr>
          <w:rFonts w:asciiTheme="minorHAnsi" w:hAnsiTheme="minorHAnsi" w:cstheme="minorHAnsi"/>
          <w:color w:val="auto"/>
        </w:rPr>
        <w:t xml:space="preserve">meaningful access to in-person schooling.  Plaintiffs are either unable to attend, and are thus excluded from in-person school, or they must attend at great risk of illness, which is unequal access.  </w:t>
      </w:r>
    </w:p>
    <w:p w14:paraId="634C1843" w14:textId="7A6AD70C"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For the same reasons, Plaintiffs whose school districts require masks and that the Attorney General has sued or threatened to sue face a substantial risk that their school districts will stop requiring masks.  If the Attorney General’s lawsuits succeed, school districts requiring masks will no longer be able to do so because the Attorney General has asked for orders enjoining sued school districts from requiring masks.  </w:t>
      </w:r>
      <w:r w:rsidR="00852C87">
        <w:t>Exs. 29, 33, 88, 92, 107, 111, 112, 115, 118, 120, 125</w:t>
      </w:r>
      <w:r w:rsidR="00852C87" w:rsidRPr="00DA5613">
        <w:rPr>
          <w:rFonts w:asciiTheme="minorHAnsi" w:hAnsiTheme="minorHAnsi" w:cstheme="minorHAnsi"/>
        </w:rPr>
        <w:t xml:space="preserve"> (Petitions filed against school districts)</w:t>
      </w:r>
      <w:r w:rsidRPr="00DA5613">
        <w:rPr>
          <w:rFonts w:asciiTheme="minorHAnsi" w:hAnsiTheme="minorHAnsi" w:cstheme="minorHAnsi"/>
        </w:rPr>
        <w:t xml:space="preserve">.  And students who attend school districts the Attorney General has not sued face a substantial risk that their school districts will stop requiring masks because the Attorney General has indicated his intent to sue such school districts, including by sending letters to such school districts explicitly </w:t>
      </w:r>
      <w:r w:rsidR="000F412D">
        <w:rPr>
          <w:rFonts w:asciiTheme="minorHAnsi" w:hAnsiTheme="minorHAnsi" w:cstheme="minorHAnsi"/>
        </w:rPr>
        <w:t xml:space="preserve">threatening </w:t>
      </w:r>
      <w:r w:rsidRPr="00DA5613">
        <w:rPr>
          <w:rFonts w:asciiTheme="minorHAnsi" w:hAnsiTheme="minorHAnsi" w:cstheme="minorHAnsi"/>
        </w:rPr>
        <w:t xml:space="preserve">litigation if they do not abandon their mask requirements.  </w:t>
      </w:r>
      <w:r w:rsidR="009A6217" w:rsidRPr="009A6217">
        <w:rPr>
          <w:rFonts w:asciiTheme="minorHAnsi" w:hAnsiTheme="minorHAnsi" w:cstheme="minorHAnsi"/>
          <w:i/>
          <w:iCs/>
        </w:rPr>
        <w:t>See e.g.</w:t>
      </w:r>
      <w:r w:rsidR="009A6217">
        <w:rPr>
          <w:rFonts w:asciiTheme="minorHAnsi" w:hAnsiTheme="minorHAnsi" w:cstheme="minorHAnsi"/>
        </w:rPr>
        <w:t xml:space="preserve"> Ex. 65 (OAG Letter to Edgewood ISD)</w:t>
      </w:r>
      <w:r w:rsidRPr="00DA5613">
        <w:rPr>
          <w:rFonts w:asciiTheme="minorHAnsi" w:hAnsiTheme="minorHAnsi" w:cstheme="minorHAnsi"/>
        </w:rPr>
        <w:t xml:space="preserve">.  </w:t>
      </w:r>
      <w:r w:rsidR="00004182">
        <w:rPr>
          <w:rFonts w:asciiTheme="minorHAnsi" w:hAnsiTheme="minorHAnsi" w:cstheme="minorHAnsi"/>
        </w:rPr>
        <w:t>T</w:t>
      </w:r>
      <w:r w:rsidR="00DA5613" w:rsidRPr="00DA5613">
        <w:rPr>
          <w:rFonts w:asciiTheme="minorHAnsi" w:hAnsiTheme="minorHAnsi" w:cstheme="minorHAnsi"/>
        </w:rPr>
        <w:t>he Plaintiffs that are</w:t>
      </w:r>
      <w:r w:rsidRPr="00DA5613">
        <w:rPr>
          <w:rFonts w:asciiTheme="minorHAnsi" w:hAnsiTheme="minorHAnsi" w:cstheme="minorHAnsi"/>
        </w:rPr>
        <w:t xml:space="preserve"> currently attending</w:t>
      </w:r>
      <w:r w:rsidR="00DA5613" w:rsidRPr="00DA5613">
        <w:rPr>
          <w:rFonts w:asciiTheme="minorHAnsi" w:hAnsiTheme="minorHAnsi" w:cstheme="minorHAnsi"/>
        </w:rPr>
        <w:t xml:space="preserve"> in-person</w:t>
      </w:r>
      <w:r w:rsidRPr="00DA5613">
        <w:rPr>
          <w:rFonts w:asciiTheme="minorHAnsi" w:hAnsiTheme="minorHAnsi" w:cstheme="minorHAnsi"/>
        </w:rPr>
        <w:t xml:space="preserve"> school because their school</w:t>
      </w:r>
      <w:r w:rsidR="00DA5613" w:rsidRPr="00DA5613">
        <w:rPr>
          <w:rFonts w:asciiTheme="minorHAnsi" w:hAnsiTheme="minorHAnsi" w:cstheme="minorHAnsi"/>
        </w:rPr>
        <w:t xml:space="preserve"> districts </w:t>
      </w:r>
      <w:r w:rsidRPr="00DA5613">
        <w:rPr>
          <w:rFonts w:asciiTheme="minorHAnsi" w:hAnsiTheme="minorHAnsi" w:cstheme="minorHAnsi"/>
        </w:rPr>
        <w:t>still require masks</w:t>
      </w:r>
      <w:r w:rsidR="00004182">
        <w:rPr>
          <w:rFonts w:asciiTheme="minorHAnsi" w:hAnsiTheme="minorHAnsi" w:cstheme="minorHAnsi"/>
        </w:rPr>
        <w:t xml:space="preserve"> </w:t>
      </w:r>
      <w:r w:rsidR="00004182">
        <w:rPr>
          <w:rFonts w:asciiTheme="minorHAnsi" w:hAnsiTheme="minorHAnsi" w:cstheme="minorHAnsi"/>
          <w:color w:val="auto"/>
        </w:rPr>
        <w:t>who will be forced to stay home without masks</w:t>
      </w:r>
      <w:r w:rsidR="00DA5613" w:rsidRPr="00DA5613">
        <w:rPr>
          <w:rFonts w:asciiTheme="minorHAnsi" w:hAnsiTheme="minorHAnsi" w:cstheme="minorHAnsi"/>
        </w:rPr>
        <w:t xml:space="preserve"> </w:t>
      </w:r>
      <w:r w:rsidRPr="00DA5613">
        <w:rPr>
          <w:rFonts w:asciiTheme="minorHAnsi" w:hAnsiTheme="minorHAnsi" w:cstheme="minorHAnsi"/>
        </w:rPr>
        <w:t xml:space="preserve">face a substantial risk that their schools will stop requiring masks, which will deprive such students of the opportunity to attend school in person, and that substantial risk is sufficient to confer standing.  </w:t>
      </w:r>
      <w:r w:rsidRPr="00DA5613">
        <w:rPr>
          <w:rFonts w:asciiTheme="minorHAnsi" w:hAnsiTheme="minorHAnsi" w:cstheme="minorHAnsi"/>
          <w:i/>
          <w:iCs/>
        </w:rPr>
        <w:t>Driehaus</w:t>
      </w:r>
      <w:r w:rsidRPr="00DA5613">
        <w:rPr>
          <w:rFonts w:asciiTheme="minorHAnsi" w:hAnsiTheme="minorHAnsi" w:cstheme="minorHAnsi"/>
        </w:rPr>
        <w:t>, 573 U.S. at 158</w:t>
      </w:r>
      <w:r w:rsidRPr="00DA5613">
        <w:rPr>
          <w:rFonts w:asciiTheme="minorHAnsi" w:hAnsiTheme="minorHAnsi" w:cstheme="minorHAnsi"/>
          <w:i/>
          <w:iCs/>
        </w:rPr>
        <w:t xml:space="preserve"> </w:t>
      </w:r>
      <w:r w:rsidRPr="00DA5613">
        <w:rPr>
          <w:rFonts w:asciiTheme="minorHAnsi" w:hAnsiTheme="minorHAnsi" w:cstheme="minorHAnsi"/>
        </w:rPr>
        <w:t xml:space="preserve">(stating that “[a]n injury is sufficiently imminent to confer standing if there is a “‘substantial risk’ that the harm will occur”) (quoting </w:t>
      </w:r>
      <w:r w:rsidRPr="00DA5613">
        <w:rPr>
          <w:rFonts w:asciiTheme="minorHAnsi" w:hAnsiTheme="minorHAnsi" w:cstheme="minorHAnsi"/>
          <w:i/>
          <w:iCs/>
        </w:rPr>
        <w:t>Clapper</w:t>
      </w:r>
      <w:r w:rsidRPr="00DA5613">
        <w:rPr>
          <w:rFonts w:asciiTheme="minorHAnsi" w:hAnsiTheme="minorHAnsi" w:cstheme="minorHAnsi"/>
        </w:rPr>
        <w:t xml:space="preserve">, 368 U.S. at 414 n. 5).  </w:t>
      </w:r>
      <w:r w:rsidR="00DA5613" w:rsidRPr="00DA5613">
        <w:rPr>
          <w:rFonts w:asciiTheme="minorHAnsi" w:hAnsiTheme="minorHAnsi" w:cstheme="minorHAnsi"/>
        </w:rPr>
        <w:t>And the r</w:t>
      </w:r>
      <w:r w:rsidR="00DA5613" w:rsidRPr="00DA5613">
        <w:rPr>
          <w:rFonts w:asciiTheme="minorHAnsi" w:hAnsiTheme="minorHAnsi" w:cstheme="minorHAnsi"/>
          <w:color w:val="auto"/>
        </w:rPr>
        <w:t>isk of unequal access is similarly imminent for any Plaintiff who will be forced to attend in-person school at great risk to his or her health.</w:t>
      </w:r>
      <w:r w:rsidR="002F77C4" w:rsidRPr="00DA5613">
        <w:rPr>
          <w:rStyle w:val="FootnoteReference"/>
          <w:rFonts w:asciiTheme="minorHAnsi" w:hAnsiTheme="minorHAnsi" w:cstheme="minorHAnsi"/>
        </w:rPr>
        <w:footnoteReference w:id="41"/>
      </w:r>
      <w:r w:rsidR="00DA5613" w:rsidRPr="00DA5613">
        <w:rPr>
          <w:rFonts w:asciiTheme="minorHAnsi" w:hAnsiTheme="minorHAnsi" w:cstheme="minorHAnsi"/>
          <w:color w:val="auto"/>
        </w:rPr>
        <w:t xml:space="preserve">  </w:t>
      </w:r>
    </w:p>
    <w:p w14:paraId="794BBF64" w14:textId="6888C1A4" w:rsidR="004130C6" w:rsidRPr="00DA5613" w:rsidRDefault="004130C6" w:rsidP="0052109B">
      <w:pPr>
        <w:pStyle w:val="NoSpacing"/>
        <w:spacing w:line="480" w:lineRule="auto"/>
        <w:jc w:val="center"/>
        <w:rPr>
          <w:rFonts w:asciiTheme="minorHAnsi" w:hAnsiTheme="minorHAnsi" w:cstheme="minorHAnsi"/>
        </w:rPr>
      </w:pPr>
      <w:r w:rsidRPr="00DA5613">
        <w:rPr>
          <w:rFonts w:asciiTheme="minorHAnsi" w:hAnsiTheme="minorHAnsi" w:cstheme="minorHAnsi"/>
        </w:rPr>
        <w:t>*</w:t>
      </w:r>
      <w:r w:rsidR="00EC0F84">
        <w:rPr>
          <w:rFonts w:asciiTheme="minorHAnsi" w:hAnsiTheme="minorHAnsi" w:cstheme="minorHAnsi"/>
        </w:rPr>
        <w:tab/>
      </w:r>
      <w:r w:rsidRPr="00DA5613">
        <w:rPr>
          <w:rFonts w:asciiTheme="minorHAnsi" w:hAnsiTheme="minorHAnsi" w:cstheme="minorHAnsi"/>
        </w:rPr>
        <w:t>*</w:t>
      </w:r>
      <w:r w:rsidR="00EC0F84">
        <w:rPr>
          <w:rFonts w:asciiTheme="minorHAnsi" w:hAnsiTheme="minorHAnsi" w:cstheme="minorHAnsi"/>
        </w:rPr>
        <w:tab/>
      </w:r>
      <w:r w:rsidRPr="00DA5613">
        <w:rPr>
          <w:rFonts w:asciiTheme="minorHAnsi" w:hAnsiTheme="minorHAnsi" w:cstheme="minorHAnsi"/>
        </w:rPr>
        <w:t>*</w:t>
      </w:r>
    </w:p>
    <w:p w14:paraId="76BFBCAA" w14:textId="5872DB22" w:rsidR="00DA5613"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Plaintiffs have clearly demonstrated that they have a real stake in the outcome of this case.  </w:t>
      </w:r>
      <w:r w:rsidRPr="00DA5613">
        <w:rPr>
          <w:rFonts w:asciiTheme="minorHAnsi" w:hAnsiTheme="minorHAnsi" w:cstheme="minorHAnsi"/>
          <w:i/>
          <w:iCs/>
        </w:rPr>
        <w:t>Driehaus</w:t>
      </w:r>
      <w:r w:rsidRPr="00DA5613">
        <w:rPr>
          <w:rFonts w:asciiTheme="minorHAnsi" w:hAnsiTheme="minorHAnsi" w:cstheme="minorHAnsi"/>
        </w:rPr>
        <w:t xml:space="preserve">, 573 U.S. at 158 (stating that “[s]tanding’s injury requirement “helps to ensure that the plaintiff has a ‘personal stake in the outcome of the controversy’”) (quoting </w:t>
      </w:r>
      <w:r w:rsidRPr="00DA5613">
        <w:rPr>
          <w:rFonts w:asciiTheme="minorHAnsi" w:hAnsiTheme="minorHAnsi" w:cstheme="minorHAnsi"/>
          <w:i/>
          <w:iCs/>
        </w:rPr>
        <w:t>Warth v. Seldin</w:t>
      </w:r>
      <w:r w:rsidRPr="00DA5613">
        <w:rPr>
          <w:rFonts w:asciiTheme="minorHAnsi" w:hAnsiTheme="minorHAnsi" w:cstheme="minorHAnsi"/>
        </w:rPr>
        <w:t xml:space="preserve">, 422 U.S. 490, 498 (1975)).  Plaintiffs have demonstrated that, rather than merely complaining about a government policy they dislike, they are complaining about a real injury: </w:t>
      </w:r>
      <w:r w:rsidR="00DA5613" w:rsidRPr="00DA5613">
        <w:rPr>
          <w:rFonts w:asciiTheme="minorHAnsi" w:hAnsiTheme="minorHAnsi" w:cstheme="minorHAnsi"/>
          <w:color w:val="auto"/>
        </w:rPr>
        <w:t xml:space="preserve">the lack of an opportunity to attend or have meaningful access to school that has already occurred for multiple Plaintiffs </w:t>
      </w:r>
      <w:r w:rsidR="00DA5613" w:rsidRPr="00DA5613">
        <w:rPr>
          <w:rFonts w:asciiTheme="minorHAnsi" w:hAnsiTheme="minorHAnsi" w:cstheme="minorHAnsi"/>
        </w:rPr>
        <w:t>given their medical conditions</w:t>
      </w:r>
      <w:r w:rsidR="00DA5613" w:rsidRPr="00DA5613">
        <w:rPr>
          <w:rFonts w:asciiTheme="minorHAnsi" w:hAnsiTheme="minorHAnsi" w:cstheme="minorHAnsi"/>
          <w:color w:val="auto"/>
        </w:rPr>
        <w:t>; and the substantial risk of such harm for others due to the actions of the Defendants.</w:t>
      </w:r>
    </w:p>
    <w:p w14:paraId="46188B9A" w14:textId="77777777" w:rsidR="004130C6" w:rsidRPr="00DA5613" w:rsidRDefault="004130C6" w:rsidP="006A5965">
      <w:pPr>
        <w:pStyle w:val="pleadingtls5"/>
      </w:pPr>
      <w:bookmarkStart w:id="141" w:name="_Toc83814466"/>
      <w:bookmarkStart w:id="142" w:name="_Toc83846182"/>
      <w:r w:rsidRPr="00DA5613">
        <w:t>Plaintiffs’ injury is fairly traceable to Defendants’ actual and threatened enforcement of GA-38 against school districts.</w:t>
      </w:r>
      <w:bookmarkEnd w:id="141"/>
      <w:bookmarkEnd w:id="142"/>
    </w:p>
    <w:p w14:paraId="2AF0B9AF" w14:textId="00120EA2"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“In cases where the choice of a third party is essential to a plaintiff's standing, the plaintiff must introduce facts showing that the third party’s choices ‘have been or will be made in such manner as to produce causation and permit redressability of injury.’”  </w:t>
      </w:r>
      <w:r w:rsidRPr="00DA5613">
        <w:rPr>
          <w:rFonts w:asciiTheme="minorHAnsi" w:hAnsiTheme="minorHAnsi" w:cstheme="minorHAnsi"/>
          <w:i/>
          <w:iCs/>
        </w:rPr>
        <w:t>Three Expo Events, L.L.C. v. City of Dallas, Texas</w:t>
      </w:r>
      <w:r w:rsidRPr="00DA5613">
        <w:rPr>
          <w:rFonts w:asciiTheme="minorHAnsi" w:hAnsiTheme="minorHAnsi" w:cstheme="minorHAnsi"/>
        </w:rPr>
        <w:t xml:space="preserve">, 907 F.3d 333, 341 (5th Cir. 2018) (quoting </w:t>
      </w:r>
      <w:r w:rsidRPr="00DA5613">
        <w:rPr>
          <w:rFonts w:asciiTheme="minorHAnsi" w:hAnsiTheme="minorHAnsi" w:cstheme="minorHAnsi"/>
          <w:i/>
          <w:iCs/>
        </w:rPr>
        <w:t>Lujan</w:t>
      </w:r>
      <w:r w:rsidRPr="00DA5613">
        <w:rPr>
          <w:rFonts w:asciiTheme="minorHAnsi" w:hAnsiTheme="minorHAnsi" w:cstheme="minorHAnsi"/>
        </w:rPr>
        <w:t>, 504 U.S. at 562.</w:t>
      </w:r>
      <w:r w:rsidR="007C735A">
        <w:rPr>
          <w:rFonts w:asciiTheme="minorHAnsi" w:hAnsiTheme="minorHAnsi" w:cstheme="minorHAnsi"/>
        </w:rPr>
        <w:t xml:space="preserve">  </w:t>
      </w:r>
      <w:r w:rsidR="007C735A">
        <w:rPr>
          <w:rFonts w:asciiTheme="minorHAnsi" w:hAnsiTheme="minorHAnsi" w:cstheme="minorHAnsi"/>
          <w:color w:val="auto"/>
        </w:rPr>
        <w:t xml:space="preserve">The district court in S.B. found that the injuries incurred by students with disabilities was traceable to the Tennessee governor’s executive order banning mandatory mask usage.  </w:t>
      </w:r>
      <w:r w:rsidR="007C735A">
        <w:rPr>
          <w:rFonts w:asciiTheme="minorHAnsi" w:hAnsiTheme="minorHAnsi" w:cstheme="minorHAnsi"/>
          <w:i/>
          <w:iCs/>
          <w:color w:val="auto"/>
        </w:rPr>
        <w:t>S.B. by &amp; through M.B. v. Lee</w:t>
      </w:r>
      <w:r w:rsidR="007C735A">
        <w:rPr>
          <w:rFonts w:asciiTheme="minorHAnsi" w:hAnsiTheme="minorHAnsi" w:cstheme="minorHAnsi"/>
          <w:color w:val="auto"/>
        </w:rPr>
        <w:t xml:space="preserve">, </w:t>
      </w:r>
      <w:r w:rsidR="00F97FB6">
        <w:rPr>
          <w:rFonts w:asciiTheme="minorHAnsi" w:hAnsiTheme="minorHAnsi" w:cstheme="minorHAnsi"/>
          <w:color w:val="auto"/>
        </w:rPr>
        <w:t>__</w:t>
      </w:r>
      <w:r w:rsidR="007C735A">
        <w:rPr>
          <w:rFonts w:asciiTheme="minorHAnsi" w:hAnsiTheme="minorHAnsi" w:cstheme="minorHAnsi"/>
          <w:color w:val="auto"/>
        </w:rPr>
        <w:t xml:space="preserve"> F. Supp. 3d</w:t>
      </w:r>
      <w:r w:rsidR="00F97FB6">
        <w:rPr>
          <w:rFonts w:asciiTheme="minorHAnsi" w:hAnsiTheme="minorHAnsi" w:cstheme="minorHAnsi"/>
          <w:color w:val="auto"/>
        </w:rPr>
        <w:t xml:space="preserve"> __</w:t>
      </w:r>
      <w:r w:rsidR="007C735A">
        <w:rPr>
          <w:rFonts w:asciiTheme="minorHAnsi" w:hAnsiTheme="minorHAnsi" w:cstheme="minorHAnsi"/>
          <w:color w:val="auto"/>
        </w:rPr>
        <w:t xml:space="preserve">, 2021 WL 4346232 *8-9 (E.D. Tenn. Sept. 24, 2021).  The court noted that the governor’s argument to the contrary was an attempt to stop any legal challenge or court review of his order.  </w:t>
      </w:r>
      <w:r w:rsidR="007C735A">
        <w:rPr>
          <w:rFonts w:asciiTheme="minorHAnsi" w:hAnsiTheme="minorHAnsi" w:cstheme="minorHAnsi"/>
          <w:i/>
          <w:color w:val="auto"/>
        </w:rPr>
        <w:t>Id</w:t>
      </w:r>
      <w:r w:rsidR="007C735A">
        <w:rPr>
          <w:rFonts w:asciiTheme="minorHAnsi" w:hAnsiTheme="minorHAnsi" w:cstheme="minorHAnsi"/>
          <w:color w:val="auto"/>
        </w:rPr>
        <w:t>. at * 9 (“Because his executive order forestalls Plaintiffs from pursuing an alleged reasonable accommodation under the ADA, the Court clearly has license to enjoin his executive order and is likely to do so.”).</w:t>
      </w:r>
      <w:r w:rsidRPr="00DA5613">
        <w:rPr>
          <w:rFonts w:asciiTheme="minorHAnsi" w:hAnsiTheme="minorHAnsi" w:cstheme="minorHAnsi"/>
        </w:rPr>
        <w:t xml:space="preserve">  </w:t>
      </w:r>
    </w:p>
    <w:p w14:paraId="7010299D" w14:textId="4F42D202"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Here, Plaintiffs have ample evidence that the school districts they attend have or likely will abandon mask requirements because of Defendants’ enforcement of GA-38’s mask provisions against them.  That evidence </w:t>
      </w:r>
      <w:r w:rsidR="000F412D">
        <w:rPr>
          <w:rFonts w:asciiTheme="minorHAnsi" w:hAnsiTheme="minorHAnsi" w:cstheme="minorHAnsi"/>
        </w:rPr>
        <w:t>includes</w:t>
      </w:r>
      <w:r w:rsidR="00EC0F84">
        <w:rPr>
          <w:rFonts w:asciiTheme="minorHAnsi" w:hAnsiTheme="minorHAnsi" w:cstheme="minorHAnsi"/>
        </w:rPr>
        <w:t>:</w:t>
      </w:r>
    </w:p>
    <w:p w14:paraId="37197155" w14:textId="07BD8568" w:rsidR="004130C6" w:rsidRPr="00DA5613" w:rsidRDefault="004130C6" w:rsidP="0052109B">
      <w:pPr>
        <w:pStyle w:val="NoSpacing"/>
        <w:numPr>
          <w:ilvl w:val="0"/>
          <w:numId w:val="16"/>
        </w:numPr>
        <w:spacing w:line="480" w:lineRule="auto"/>
        <w:ind w:left="1080"/>
        <w:contextualSpacing w:val="0"/>
        <w:rPr>
          <w:rFonts w:asciiTheme="minorHAnsi" w:hAnsiTheme="minorHAnsi" w:cstheme="minorHAnsi"/>
          <w:b/>
          <w:bCs/>
        </w:rPr>
      </w:pPr>
      <w:r w:rsidRPr="00DA5613">
        <w:rPr>
          <w:rFonts w:asciiTheme="minorHAnsi" w:hAnsiTheme="minorHAnsi" w:cstheme="minorHAnsi"/>
        </w:rPr>
        <w:t xml:space="preserve">On August 28, 2021, Fort Bend ISD decided to stop enforcing its mask policy due to its perception that the Office of the Attorney General was successful in its enforcement of Executive Order GA-38 through litigation.  Ex. </w:t>
      </w:r>
      <w:r w:rsidR="009A6217">
        <w:rPr>
          <w:rFonts w:asciiTheme="minorHAnsi" w:hAnsiTheme="minorHAnsi" w:cstheme="minorHAnsi"/>
        </w:rPr>
        <w:t>22</w:t>
      </w:r>
      <w:r w:rsidRPr="00DA5613">
        <w:rPr>
          <w:rFonts w:asciiTheme="minorHAnsi" w:hAnsiTheme="minorHAnsi" w:cstheme="minorHAnsi"/>
        </w:rPr>
        <w:t xml:space="preserve">, ¶¶ 19–20.  In turn, M.P. who attends a Fort Bend School, has been staying home because of the risk of COVID arising from the Attorney General’s causing Fort Bend to stop requiring masks.  Ex. </w:t>
      </w:r>
      <w:r w:rsidR="001716BC">
        <w:rPr>
          <w:rFonts w:asciiTheme="minorHAnsi" w:hAnsiTheme="minorHAnsi" w:cstheme="minorHAnsi"/>
        </w:rPr>
        <w:t>226</w:t>
      </w:r>
      <w:r w:rsidRPr="00DA5613">
        <w:rPr>
          <w:rFonts w:asciiTheme="minorHAnsi" w:hAnsiTheme="minorHAnsi" w:cstheme="minorHAnsi"/>
        </w:rPr>
        <w:t xml:space="preserve">, ¶¶ 7–9. </w:t>
      </w:r>
    </w:p>
    <w:p w14:paraId="661DA91C" w14:textId="125A3247" w:rsidR="004130C6" w:rsidRPr="00DA5613" w:rsidRDefault="004130C6" w:rsidP="0052109B">
      <w:pPr>
        <w:pStyle w:val="NoSpacing"/>
        <w:numPr>
          <w:ilvl w:val="0"/>
          <w:numId w:val="16"/>
        </w:numPr>
        <w:spacing w:line="480" w:lineRule="auto"/>
        <w:ind w:left="1080"/>
        <w:contextualSpacing w:val="0"/>
        <w:rPr>
          <w:rFonts w:asciiTheme="minorHAnsi" w:hAnsiTheme="minorHAnsi" w:cstheme="minorHAnsi"/>
          <w:b/>
          <w:bCs/>
        </w:rPr>
      </w:pPr>
      <w:r w:rsidRPr="00DA5613">
        <w:rPr>
          <w:rFonts w:asciiTheme="minorHAnsi" w:hAnsiTheme="minorHAnsi" w:cstheme="minorHAnsi"/>
        </w:rPr>
        <w:t xml:space="preserve">On September 9, 2021, Defendant Paxton sued Round Rock ISD for its August 18 mask mandate applying to students, teachers, staff members, and adult visitors. Ex. </w:t>
      </w:r>
      <w:r w:rsidR="001716BC">
        <w:rPr>
          <w:rFonts w:asciiTheme="minorHAnsi" w:hAnsiTheme="minorHAnsi" w:cstheme="minorHAnsi"/>
        </w:rPr>
        <w:t>33</w:t>
      </w:r>
      <w:r w:rsidRPr="00DA5613">
        <w:rPr>
          <w:rFonts w:asciiTheme="minorHAnsi" w:hAnsiTheme="minorHAnsi" w:cstheme="minorHAnsi"/>
        </w:rPr>
        <w:t xml:space="preserve">, </w:t>
      </w:r>
      <w:r w:rsidR="00F453A5">
        <w:rPr>
          <w:rFonts w:asciiTheme="minorHAnsi" w:hAnsiTheme="minorHAnsi" w:cstheme="minorHAnsi"/>
        </w:rPr>
        <w:t>¶</w:t>
      </w:r>
      <w:r w:rsidRPr="00DA5613">
        <w:rPr>
          <w:rFonts w:asciiTheme="minorHAnsi" w:hAnsiTheme="minorHAnsi" w:cstheme="minorHAnsi"/>
        </w:rPr>
        <w:t>¶ 29–30.  Although the trial court granted a TRO enjoining Round Rock ISD from enforcing its mask requirement, a Texas court of appeals stayed the trial court’s order, and Round Rock is continuing to require masks.  Ex</w:t>
      </w:r>
      <w:r w:rsidR="001716BC">
        <w:rPr>
          <w:rFonts w:asciiTheme="minorHAnsi" w:hAnsiTheme="minorHAnsi" w:cstheme="minorHAnsi"/>
        </w:rPr>
        <w:t>s</w:t>
      </w:r>
      <w:r w:rsidRPr="00DA5613">
        <w:rPr>
          <w:rFonts w:asciiTheme="minorHAnsi" w:hAnsiTheme="minorHAnsi" w:cstheme="minorHAnsi"/>
        </w:rPr>
        <w:t xml:space="preserve">. </w:t>
      </w:r>
      <w:r w:rsidR="001716BC">
        <w:rPr>
          <w:rFonts w:asciiTheme="minorHAnsi" w:hAnsiTheme="minorHAnsi" w:cstheme="minorHAnsi"/>
        </w:rPr>
        <w:t>36, 37, 38</w:t>
      </w:r>
      <w:r w:rsidRPr="00DA5613">
        <w:rPr>
          <w:rFonts w:asciiTheme="minorHAnsi" w:hAnsiTheme="minorHAnsi" w:cstheme="minorHAnsi"/>
        </w:rPr>
        <w:t xml:space="preserve">.  Plaintiff E.T., who attends a Round Rock school and is currently going in person because of Round Rock’s mask requirement, still faces a substantial risk of deprivation of her opportunity to attend school in person because Attorney General Paxton could prevail in his lawsuit against Round Rock ISD.  Indeed, E.T.’s parents will withdraw her from school if Round Rock ISD stops requiring masks.  Ex. </w:t>
      </w:r>
      <w:r w:rsidR="001716BC">
        <w:rPr>
          <w:rFonts w:asciiTheme="minorHAnsi" w:hAnsiTheme="minorHAnsi" w:cstheme="minorHAnsi"/>
        </w:rPr>
        <w:t>223</w:t>
      </w:r>
      <w:r w:rsidRPr="00DA5613">
        <w:rPr>
          <w:rFonts w:asciiTheme="minorHAnsi" w:hAnsiTheme="minorHAnsi" w:cstheme="minorHAnsi"/>
        </w:rPr>
        <w:t xml:space="preserve">.  The Attorney General’s lawsuit against Round Rock ISD is clearly the cause of that substantial risk. </w:t>
      </w:r>
    </w:p>
    <w:p w14:paraId="1AED9235" w14:textId="3209FC86" w:rsidR="004130C6" w:rsidRPr="00DA5613" w:rsidRDefault="004130C6" w:rsidP="0052109B">
      <w:pPr>
        <w:pStyle w:val="NoSpacing"/>
        <w:numPr>
          <w:ilvl w:val="0"/>
          <w:numId w:val="16"/>
        </w:numPr>
        <w:spacing w:line="480" w:lineRule="auto"/>
        <w:ind w:left="1080"/>
        <w:contextualSpacing w:val="0"/>
        <w:rPr>
          <w:rFonts w:asciiTheme="minorHAnsi" w:hAnsiTheme="minorHAnsi" w:cstheme="minorHAnsi"/>
          <w:b/>
          <w:bCs/>
        </w:rPr>
      </w:pPr>
      <w:r w:rsidRPr="00DA5613">
        <w:rPr>
          <w:rFonts w:asciiTheme="minorHAnsi" w:hAnsiTheme="minorHAnsi" w:cstheme="minorHAnsi"/>
        </w:rPr>
        <w:t xml:space="preserve">Although Richardson ISD is currently requiring masks, Ex. </w:t>
      </w:r>
      <w:r w:rsidR="001716BC">
        <w:rPr>
          <w:rFonts w:asciiTheme="minorHAnsi" w:hAnsiTheme="minorHAnsi" w:cstheme="minorHAnsi"/>
        </w:rPr>
        <w:t>27</w:t>
      </w:r>
      <w:r w:rsidRPr="00DA5613">
        <w:rPr>
          <w:rFonts w:asciiTheme="minorHAnsi" w:hAnsiTheme="minorHAnsi" w:cstheme="minorHAnsi"/>
        </w:rPr>
        <w:t xml:space="preserve">, the Attorney General has sued Richardson ISD to enjoin Richardson ISD from requiring masks, Ex. </w:t>
      </w:r>
      <w:r w:rsidR="001121D6">
        <w:rPr>
          <w:rFonts w:asciiTheme="minorHAnsi" w:hAnsiTheme="minorHAnsi" w:cstheme="minorHAnsi"/>
        </w:rPr>
        <w:t>29</w:t>
      </w:r>
      <w:r w:rsidRPr="00DA5613">
        <w:rPr>
          <w:rFonts w:asciiTheme="minorHAnsi" w:hAnsiTheme="minorHAnsi" w:cstheme="minorHAnsi"/>
        </w:rPr>
        <w:t xml:space="preserve">.  Richardson ISD will comply with any court order enjoining it from requiring masks.  Ex. </w:t>
      </w:r>
      <w:r w:rsidR="001121D6">
        <w:rPr>
          <w:rFonts w:asciiTheme="minorHAnsi" w:hAnsiTheme="minorHAnsi" w:cstheme="minorHAnsi"/>
        </w:rPr>
        <w:t>27</w:t>
      </w:r>
      <w:r w:rsidRPr="00DA5613">
        <w:rPr>
          <w:rFonts w:asciiTheme="minorHAnsi" w:hAnsiTheme="minorHAnsi" w:cstheme="minorHAnsi"/>
        </w:rPr>
        <w:t xml:space="preserve">.  The Attorney General’s lawsuit has therefore caused a substantial risk that S.P., who attends a Richardson school, will be deprived of </w:t>
      </w:r>
      <w:r w:rsidR="007C735A">
        <w:rPr>
          <w:rFonts w:asciiTheme="minorHAnsi" w:hAnsiTheme="minorHAnsi" w:cstheme="minorHAnsi"/>
          <w:color w:val="auto"/>
        </w:rPr>
        <w:t>meaningful access to in-person school</w:t>
      </w:r>
      <w:r w:rsidRPr="00DA5613">
        <w:rPr>
          <w:rFonts w:asciiTheme="minorHAnsi" w:hAnsiTheme="minorHAnsi" w:cstheme="minorHAnsi"/>
        </w:rPr>
        <w:t>.</w:t>
      </w:r>
    </w:p>
    <w:p w14:paraId="270EB879" w14:textId="0632F628" w:rsidR="004130C6" w:rsidRPr="00DA5613" w:rsidRDefault="004130C6" w:rsidP="0052109B">
      <w:pPr>
        <w:pStyle w:val="NoSpacing"/>
        <w:numPr>
          <w:ilvl w:val="0"/>
          <w:numId w:val="16"/>
        </w:numPr>
        <w:spacing w:line="480" w:lineRule="auto"/>
        <w:ind w:left="1080"/>
        <w:contextualSpacing w:val="0"/>
        <w:rPr>
          <w:rFonts w:asciiTheme="minorHAnsi" w:hAnsiTheme="minorHAnsi" w:cstheme="minorHAnsi"/>
          <w:b/>
          <w:bCs/>
        </w:rPr>
      </w:pPr>
      <w:r w:rsidRPr="00DA5613">
        <w:rPr>
          <w:rFonts w:asciiTheme="minorHAnsi" w:hAnsiTheme="minorHAnsi" w:cstheme="minorHAnsi"/>
        </w:rPr>
        <w:t xml:space="preserve">Attorney General Paxton’s non-compliant-entity webpage lists Killeen ISD as “Now in Compliance (previously not in compliance)” with GA-38.  Ex. </w:t>
      </w:r>
      <w:r w:rsidR="001121D6">
        <w:rPr>
          <w:rFonts w:asciiTheme="minorHAnsi" w:hAnsiTheme="minorHAnsi" w:cstheme="minorHAnsi"/>
        </w:rPr>
        <w:t>12</w:t>
      </w:r>
      <w:r w:rsidRPr="00DA5613">
        <w:rPr>
          <w:rFonts w:asciiTheme="minorHAnsi" w:hAnsiTheme="minorHAnsi" w:cstheme="minorHAnsi"/>
        </w:rPr>
        <w:t>.  This shows that Attorney General Paxton’s enforcement efforts have caused Killeen ISD to stop requiring masks, which has deprived Plaintiff E.S.</w:t>
      </w:r>
      <w:r w:rsidR="007C735A">
        <w:rPr>
          <w:rFonts w:asciiTheme="minorHAnsi" w:hAnsiTheme="minorHAnsi" w:cstheme="minorHAnsi"/>
        </w:rPr>
        <w:t xml:space="preserve"> of meaningful access to in-person schooling</w:t>
      </w:r>
      <w:r w:rsidRPr="00DA5613">
        <w:rPr>
          <w:rFonts w:asciiTheme="minorHAnsi" w:hAnsiTheme="minorHAnsi" w:cstheme="minorHAnsi"/>
        </w:rPr>
        <w:t>.</w:t>
      </w:r>
    </w:p>
    <w:p w14:paraId="7AC7BCCA" w14:textId="38BE419B" w:rsidR="004130C6" w:rsidRPr="00DA5613" w:rsidRDefault="004130C6" w:rsidP="0052109B">
      <w:pPr>
        <w:pStyle w:val="NoSpacing"/>
        <w:numPr>
          <w:ilvl w:val="0"/>
          <w:numId w:val="16"/>
        </w:numPr>
        <w:spacing w:line="480" w:lineRule="auto"/>
        <w:ind w:left="1080"/>
        <w:contextualSpacing w:val="0"/>
        <w:rPr>
          <w:rFonts w:asciiTheme="minorHAnsi" w:hAnsiTheme="minorHAnsi" w:cstheme="minorHAnsi"/>
          <w:b/>
          <w:bCs/>
        </w:rPr>
      </w:pPr>
      <w:r w:rsidRPr="00DA5613">
        <w:rPr>
          <w:rFonts w:asciiTheme="minorHAnsi" w:hAnsiTheme="minorHAnsi" w:cstheme="minorHAnsi"/>
        </w:rPr>
        <w:t xml:space="preserve">Although the TEA never published public health guidance prohibiting masks before the Governor promulgated GA-38, the TEA has now published guidance that states, </w:t>
      </w:r>
      <w:r w:rsidRPr="00DA5613">
        <w:rPr>
          <w:rFonts w:asciiTheme="minorHAnsi" w:hAnsiTheme="minorHAnsi" w:cstheme="minorHAnsi"/>
          <w:iCs/>
        </w:rPr>
        <w:t xml:space="preserve">“Per GA-38, school systems cannot require students or staff to wear a mask.”  Ex. </w:t>
      </w:r>
      <w:r w:rsidR="001121D6">
        <w:rPr>
          <w:rFonts w:asciiTheme="minorHAnsi" w:hAnsiTheme="minorHAnsi" w:cstheme="minorHAnsi"/>
          <w:iCs/>
        </w:rPr>
        <w:t>2</w:t>
      </w:r>
      <w:r w:rsidRPr="00DA5613">
        <w:rPr>
          <w:rFonts w:asciiTheme="minorHAnsi" w:hAnsiTheme="minorHAnsi" w:cstheme="minorHAnsi"/>
          <w:iCs/>
        </w:rPr>
        <w:t xml:space="preserve">.  The TEA testified in its deposition that it intends this guidance to dissuade schools from requiring masking, </w:t>
      </w:r>
      <w:r w:rsidR="001121D6" w:rsidRPr="00DA5613">
        <w:rPr>
          <w:rFonts w:asciiTheme="minorHAnsi" w:hAnsiTheme="minorHAnsi" w:cstheme="minorHAnsi"/>
        </w:rPr>
        <w:t xml:space="preserve">Ex. </w:t>
      </w:r>
      <w:r w:rsidR="001121D6">
        <w:rPr>
          <w:rFonts w:asciiTheme="minorHAnsi" w:hAnsiTheme="minorHAnsi" w:cstheme="minorHAnsi"/>
        </w:rPr>
        <w:t>160</w:t>
      </w:r>
      <w:r w:rsidR="001121D6" w:rsidRPr="00DA5613">
        <w:rPr>
          <w:rFonts w:asciiTheme="minorHAnsi" w:hAnsiTheme="minorHAnsi" w:cstheme="minorHAnsi"/>
        </w:rPr>
        <w:t xml:space="preserve"> at 39:16-44:17 (A. Jernigan Depo)</w:t>
      </w:r>
      <w:r w:rsidRPr="00DA5613">
        <w:rPr>
          <w:rFonts w:asciiTheme="minorHAnsi" w:hAnsiTheme="minorHAnsi" w:cstheme="minorHAnsi"/>
          <w:iCs/>
        </w:rPr>
        <w:t xml:space="preserve">, which means the TEA’s guidance is likely to cause some school districts not to require masks that would otherwise do so. </w:t>
      </w:r>
    </w:p>
    <w:p w14:paraId="5BA2927C" w14:textId="2D7C87F4" w:rsidR="004130C6" w:rsidRPr="00DA5613" w:rsidRDefault="004130C6" w:rsidP="0052109B">
      <w:pPr>
        <w:pStyle w:val="NoSpacing"/>
        <w:numPr>
          <w:ilvl w:val="0"/>
          <w:numId w:val="16"/>
        </w:numPr>
        <w:spacing w:line="480" w:lineRule="auto"/>
        <w:ind w:left="1080"/>
        <w:contextualSpacing w:val="0"/>
        <w:rPr>
          <w:rFonts w:asciiTheme="minorHAnsi" w:hAnsiTheme="minorHAnsi" w:cstheme="minorHAnsi"/>
          <w:b/>
          <w:bCs/>
        </w:rPr>
      </w:pPr>
      <w:r w:rsidRPr="00DA5613">
        <w:rPr>
          <w:rFonts w:asciiTheme="minorHAnsi" w:hAnsiTheme="minorHAnsi" w:cstheme="minorHAnsi"/>
        </w:rPr>
        <w:t xml:space="preserve">Defendant Paxton has sued 15 school districts that have instituted mask mandates on the basis that the mandates violate GA-38, including Round Rock ISD, Spring ISD, Richardson ISD, Sherman ISD, Galveston ISD, Honey Grove ISD, Paris ISD, Longview ISD, Elgin ISD, Lufkin ISD, Diboll ISD, Waco ISD, Midway ISD, La Vega ISD, and McGregor ISD.  </w:t>
      </w:r>
      <w:r w:rsidR="001121D6">
        <w:t>Exs. 29, 33, 88, 92, 107, 111, 112, 115, 118, 120, 125</w:t>
      </w:r>
      <w:r w:rsidR="001121D6" w:rsidRPr="00DA5613">
        <w:rPr>
          <w:rFonts w:asciiTheme="minorHAnsi" w:hAnsiTheme="minorHAnsi" w:cstheme="minorHAnsi"/>
        </w:rPr>
        <w:t xml:space="preserve"> (Petitions filed against school districts)</w:t>
      </w:r>
      <w:r w:rsidR="001121D6">
        <w:rPr>
          <w:rFonts w:asciiTheme="minorHAnsi" w:hAnsiTheme="minorHAnsi" w:cstheme="minorHAnsi"/>
        </w:rPr>
        <w:t xml:space="preserve">.  </w:t>
      </w:r>
      <w:r w:rsidRPr="00DA5613">
        <w:rPr>
          <w:rFonts w:asciiTheme="minorHAnsi" w:hAnsiTheme="minorHAnsi" w:cstheme="minorHAnsi"/>
          <w:iCs/>
        </w:rPr>
        <w:t xml:space="preserve">And </w:t>
      </w:r>
      <w:r w:rsidR="000F412D">
        <w:rPr>
          <w:rFonts w:asciiTheme="minorHAnsi" w:hAnsiTheme="minorHAnsi" w:cstheme="minorHAnsi"/>
          <w:iCs/>
        </w:rPr>
        <w:t xml:space="preserve">the </w:t>
      </w:r>
      <w:r w:rsidRPr="00DA5613">
        <w:rPr>
          <w:rFonts w:asciiTheme="minorHAnsi" w:hAnsiTheme="minorHAnsi" w:cstheme="minorHAnsi"/>
          <w:iCs/>
        </w:rPr>
        <w:t xml:space="preserve">Attorney </w:t>
      </w:r>
      <w:r w:rsidR="000F412D">
        <w:rPr>
          <w:rFonts w:asciiTheme="minorHAnsi" w:hAnsiTheme="minorHAnsi" w:cstheme="minorHAnsi"/>
          <w:iCs/>
        </w:rPr>
        <w:t>G</w:t>
      </w:r>
      <w:r w:rsidRPr="00DA5613">
        <w:rPr>
          <w:rFonts w:asciiTheme="minorHAnsi" w:hAnsiTheme="minorHAnsi" w:cstheme="minorHAnsi"/>
          <w:iCs/>
        </w:rPr>
        <w:t xml:space="preserve">eneral has promised in tweets as recently as September 14, 2021 to file more lawsuits.  Ex. </w:t>
      </w:r>
      <w:r w:rsidR="00806104">
        <w:rPr>
          <w:rFonts w:asciiTheme="minorHAnsi" w:hAnsiTheme="minorHAnsi" w:cstheme="minorHAnsi"/>
          <w:iCs/>
        </w:rPr>
        <w:t>147</w:t>
      </w:r>
      <w:r w:rsidRPr="00DA5613">
        <w:rPr>
          <w:rFonts w:asciiTheme="minorHAnsi" w:hAnsiTheme="minorHAnsi" w:cstheme="minorHAnsi"/>
          <w:iCs/>
        </w:rPr>
        <w:t xml:space="preserve">.  </w:t>
      </w:r>
    </w:p>
    <w:p w14:paraId="3EEDD2B8" w14:textId="6F4DDCBB" w:rsidR="000629B6" w:rsidRPr="00DA5613" w:rsidRDefault="004130C6" w:rsidP="0052109B">
      <w:pPr>
        <w:pStyle w:val="NoSpacing"/>
        <w:spacing w:line="480" w:lineRule="auto"/>
        <w:ind w:firstLine="720"/>
        <w:rPr>
          <w:rFonts w:asciiTheme="minorHAnsi" w:hAnsiTheme="minorHAnsi" w:cstheme="minorHAnsi"/>
        </w:rPr>
      </w:pPr>
      <w:r w:rsidRPr="00DA5613">
        <w:rPr>
          <w:rFonts w:asciiTheme="minorHAnsi" w:hAnsiTheme="minorHAnsi" w:cstheme="minorHAnsi"/>
        </w:rPr>
        <w:t>Ultimately, the evidence above shows that Defendants’ enforcement of GA-38 has caused school district</w:t>
      </w:r>
      <w:r w:rsidR="00EC0F84">
        <w:rPr>
          <w:rFonts w:asciiTheme="minorHAnsi" w:hAnsiTheme="minorHAnsi" w:cstheme="minorHAnsi"/>
        </w:rPr>
        <w:t>s</w:t>
      </w:r>
      <w:r w:rsidRPr="00DA5613">
        <w:rPr>
          <w:rFonts w:asciiTheme="minorHAnsi" w:hAnsiTheme="minorHAnsi" w:cstheme="minorHAnsi"/>
        </w:rPr>
        <w:t xml:space="preserve"> to stop requiring masks so as to deprive Plaintiffs of the opportunity to attend school in person, and Defendants conduct is creating a substantial risk that other school districts will do the same</w:t>
      </w:r>
      <w:r w:rsidR="00EC0F84">
        <w:rPr>
          <w:rFonts w:asciiTheme="minorHAnsi" w:hAnsiTheme="minorHAnsi" w:cstheme="minorHAnsi"/>
        </w:rPr>
        <w:t>:</w:t>
      </w:r>
    </w:p>
    <w:p w14:paraId="0DB8F07E" w14:textId="582A700C" w:rsidR="000629B6" w:rsidRPr="00DA5613" w:rsidRDefault="00C73DC3" w:rsidP="0052109B">
      <w:pPr>
        <w:pStyle w:val="NoSpacing"/>
        <w:numPr>
          <w:ilvl w:val="0"/>
          <w:numId w:val="16"/>
        </w:numPr>
        <w:spacing w:line="480" w:lineRule="auto"/>
        <w:ind w:left="1080"/>
        <w:contextualSpacing w:val="0"/>
        <w:rPr>
          <w:rFonts w:asciiTheme="minorHAnsi" w:hAnsiTheme="minorHAnsi" w:cstheme="minorHAnsi"/>
        </w:rPr>
      </w:pPr>
      <w:r w:rsidRPr="00DA5613">
        <w:rPr>
          <w:rFonts w:asciiTheme="minorHAnsi" w:hAnsiTheme="minorHAnsi" w:cstheme="minorHAnsi"/>
        </w:rPr>
        <w:t>The Office of the Attorney General is aware that the letters it has sent to noncompliant school districts ha</w:t>
      </w:r>
      <w:r w:rsidR="000F412D">
        <w:rPr>
          <w:rFonts w:asciiTheme="minorHAnsi" w:hAnsiTheme="minorHAnsi" w:cstheme="minorHAnsi"/>
        </w:rPr>
        <w:t>ve</w:t>
      </w:r>
      <w:r w:rsidRPr="00DA5613">
        <w:rPr>
          <w:rFonts w:asciiTheme="minorHAnsi" w:hAnsiTheme="minorHAnsi" w:cstheme="minorHAnsi"/>
        </w:rPr>
        <w:t xml:space="preserve"> successfully influenced several of them to withdraw their mask policies. Ex. </w:t>
      </w:r>
      <w:r w:rsidR="00806104">
        <w:rPr>
          <w:rFonts w:asciiTheme="minorHAnsi" w:hAnsiTheme="minorHAnsi" w:cstheme="minorHAnsi"/>
        </w:rPr>
        <w:t>161</w:t>
      </w:r>
      <w:r w:rsidRPr="00DA5613">
        <w:rPr>
          <w:rFonts w:asciiTheme="minorHAnsi" w:hAnsiTheme="minorHAnsi" w:cstheme="minorHAnsi"/>
        </w:rPr>
        <w:t xml:space="preserve"> at 49:10-13 (A. Kinghorn Depo).</w:t>
      </w:r>
    </w:p>
    <w:p w14:paraId="131107E0" w14:textId="63ACBBAA" w:rsidR="00C73DC3" w:rsidRPr="00DA5613" w:rsidRDefault="00C73DC3" w:rsidP="0052109B">
      <w:pPr>
        <w:pStyle w:val="NoSpacing"/>
        <w:numPr>
          <w:ilvl w:val="0"/>
          <w:numId w:val="16"/>
        </w:numPr>
        <w:spacing w:line="480" w:lineRule="auto"/>
        <w:ind w:left="1080"/>
        <w:contextualSpacing w:val="0"/>
        <w:rPr>
          <w:rFonts w:asciiTheme="minorHAnsi" w:hAnsiTheme="minorHAnsi" w:cstheme="minorHAnsi"/>
        </w:rPr>
      </w:pPr>
      <w:r w:rsidRPr="00DA5613">
        <w:rPr>
          <w:rFonts w:asciiTheme="minorHAnsi" w:hAnsiTheme="minorHAnsi" w:cstheme="minorHAnsi"/>
        </w:rPr>
        <w:t>TEA, in issuing Public Health Guidance reiterating the force and effect of Executive Order GA-38 on school districts’ masking policies, intended to dissuade school districts from implement</w:t>
      </w:r>
      <w:r w:rsidR="00636453" w:rsidRPr="00DA5613">
        <w:rPr>
          <w:rFonts w:asciiTheme="minorHAnsi" w:hAnsiTheme="minorHAnsi" w:cstheme="minorHAnsi"/>
        </w:rPr>
        <w:t>ing</w:t>
      </w:r>
      <w:r w:rsidRPr="00DA5613">
        <w:rPr>
          <w:rFonts w:asciiTheme="minorHAnsi" w:hAnsiTheme="minorHAnsi" w:cstheme="minorHAnsi"/>
        </w:rPr>
        <w:t xml:space="preserve"> mask mandates. Ex. </w:t>
      </w:r>
      <w:r w:rsidR="00806104">
        <w:rPr>
          <w:rFonts w:asciiTheme="minorHAnsi" w:hAnsiTheme="minorHAnsi" w:cstheme="minorHAnsi"/>
        </w:rPr>
        <w:t>160</w:t>
      </w:r>
      <w:r w:rsidRPr="00DA5613">
        <w:rPr>
          <w:rFonts w:asciiTheme="minorHAnsi" w:hAnsiTheme="minorHAnsi" w:cstheme="minorHAnsi"/>
        </w:rPr>
        <w:t xml:space="preserve"> at 39:</w:t>
      </w:r>
      <w:r w:rsidR="00636453" w:rsidRPr="00DA5613">
        <w:rPr>
          <w:rFonts w:asciiTheme="minorHAnsi" w:hAnsiTheme="minorHAnsi" w:cstheme="minorHAnsi"/>
        </w:rPr>
        <w:t xml:space="preserve">13-44:17 (A. Jernigan Depo). </w:t>
      </w:r>
    </w:p>
    <w:p w14:paraId="3E936FDB" w14:textId="77777777" w:rsidR="004130C6" w:rsidRPr="00DA5613" w:rsidRDefault="004130C6" w:rsidP="005C54C1">
      <w:pPr>
        <w:pStyle w:val="pleadingtls5"/>
      </w:pPr>
      <w:bookmarkStart w:id="143" w:name="_Toc83814467"/>
      <w:bookmarkStart w:id="144" w:name="_Toc83846183"/>
      <w:r w:rsidRPr="00DA5613">
        <w:t>An injunction enjoining Defendants from enforcing GA-38 against school districts would likely redress Plaintiffs’ injury.</w:t>
      </w:r>
      <w:bookmarkEnd w:id="143"/>
      <w:bookmarkEnd w:id="144"/>
      <w:r w:rsidRPr="00DA5613">
        <w:t xml:space="preserve"> </w:t>
      </w:r>
    </w:p>
    <w:p w14:paraId="0B26DF1F" w14:textId="4FC81951"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b/>
          <w:bCs/>
        </w:rPr>
        <w:tab/>
      </w:r>
      <w:r w:rsidRPr="00DA5613">
        <w:rPr>
          <w:rFonts w:asciiTheme="minorHAnsi" w:hAnsiTheme="minorHAnsi" w:cstheme="minorHAnsi"/>
        </w:rPr>
        <w:t xml:space="preserve">Under the redressability requirement, “the standard is not whether the proposed remedy is an absolute solution, but rather, whether it will ‘be likely, as opposed to merely speculative,’ to redress plaintiff’s injury.”  </w:t>
      </w:r>
      <w:r w:rsidRPr="00DA5613">
        <w:rPr>
          <w:rFonts w:asciiTheme="minorHAnsi" w:hAnsiTheme="minorHAnsi" w:cstheme="minorHAnsi"/>
          <w:i/>
          <w:iCs/>
        </w:rPr>
        <w:t>ARC of Iowa</w:t>
      </w:r>
      <w:r w:rsidRPr="00DA5613">
        <w:rPr>
          <w:rFonts w:asciiTheme="minorHAnsi" w:hAnsiTheme="minorHAnsi" w:cstheme="minorHAnsi"/>
        </w:rPr>
        <w:t xml:space="preserve">, 2021 WL 4166728, at *7 (quoting </w:t>
      </w:r>
      <w:r w:rsidRPr="00DA5613">
        <w:rPr>
          <w:rFonts w:asciiTheme="minorHAnsi" w:hAnsiTheme="minorHAnsi" w:cstheme="minorHAnsi"/>
          <w:i/>
          <w:iCs/>
        </w:rPr>
        <w:t>Lujan</w:t>
      </w:r>
      <w:r w:rsidRPr="00DA5613">
        <w:rPr>
          <w:rFonts w:asciiTheme="minorHAnsi" w:hAnsiTheme="minorHAnsi" w:cstheme="minorHAnsi"/>
        </w:rPr>
        <w:t xml:space="preserve">, 504 U.S. at 561).  In </w:t>
      </w:r>
      <w:r w:rsidRPr="00DA5613">
        <w:rPr>
          <w:rFonts w:asciiTheme="minorHAnsi" w:hAnsiTheme="minorHAnsi" w:cstheme="minorHAnsi"/>
          <w:i/>
          <w:iCs/>
        </w:rPr>
        <w:t>Uzueg</w:t>
      </w:r>
      <w:r w:rsidR="000F412D">
        <w:rPr>
          <w:rFonts w:asciiTheme="minorHAnsi" w:hAnsiTheme="minorHAnsi" w:cstheme="minorHAnsi"/>
          <w:i/>
          <w:iCs/>
        </w:rPr>
        <w:t>b</w:t>
      </w:r>
      <w:r w:rsidRPr="00DA5613">
        <w:rPr>
          <w:rFonts w:asciiTheme="minorHAnsi" w:hAnsiTheme="minorHAnsi" w:cstheme="minorHAnsi"/>
          <w:i/>
          <w:iCs/>
        </w:rPr>
        <w:t>unam v. Preczewski</w:t>
      </w:r>
      <w:r w:rsidRPr="00DA5613">
        <w:rPr>
          <w:rFonts w:asciiTheme="minorHAnsi" w:hAnsiTheme="minorHAnsi" w:cstheme="minorHAnsi"/>
        </w:rPr>
        <w:t xml:space="preserve">, Supreme Court recently confirmed that a remedy need not be capable of completely redressing a plaintiff’s injury for the plaintiffs to meet the redressability requirement.  141 S. Ct. 792, 797 (2021).  The Supreme Court held in </w:t>
      </w:r>
      <w:r w:rsidRPr="00DA5613">
        <w:rPr>
          <w:rFonts w:asciiTheme="minorHAnsi" w:hAnsiTheme="minorHAnsi" w:cstheme="minorHAnsi"/>
          <w:i/>
          <w:iCs/>
        </w:rPr>
        <w:t>Uzueg</w:t>
      </w:r>
      <w:r w:rsidR="000F412D">
        <w:rPr>
          <w:rFonts w:asciiTheme="minorHAnsi" w:hAnsiTheme="minorHAnsi" w:cstheme="minorHAnsi"/>
          <w:i/>
          <w:iCs/>
        </w:rPr>
        <w:t>b</w:t>
      </w:r>
      <w:r w:rsidRPr="00DA5613">
        <w:rPr>
          <w:rFonts w:asciiTheme="minorHAnsi" w:hAnsiTheme="minorHAnsi" w:cstheme="minorHAnsi"/>
          <w:i/>
          <w:iCs/>
        </w:rPr>
        <w:t>unam</w:t>
      </w:r>
      <w:r w:rsidRPr="00DA5613">
        <w:rPr>
          <w:rFonts w:asciiTheme="minorHAnsi" w:hAnsiTheme="minorHAnsi" w:cstheme="minorHAnsi"/>
        </w:rPr>
        <w:t xml:space="preserve"> that a plaintiff seeking only nominal damages could satisfy the redressability and reasoned that “[a] single dollar often will not provide full redress, but the partial remedy satisfies the redressability requirement.”  </w:t>
      </w:r>
      <w:r w:rsidRPr="00DA5613">
        <w:rPr>
          <w:rFonts w:asciiTheme="minorHAnsi" w:hAnsiTheme="minorHAnsi" w:cstheme="minorHAnsi"/>
          <w:i/>
          <w:iCs/>
        </w:rPr>
        <w:t>Id.</w:t>
      </w:r>
      <w:r w:rsidRPr="00DA5613">
        <w:rPr>
          <w:rFonts w:asciiTheme="minorHAnsi" w:hAnsiTheme="minorHAnsi" w:cstheme="minorHAnsi"/>
        </w:rPr>
        <w:t xml:space="preserve"> at 801–02.  </w:t>
      </w:r>
    </w:p>
    <w:p w14:paraId="6D4A64A7" w14:textId="72D356E0" w:rsidR="004130C6" w:rsidRPr="00DA5613" w:rsidRDefault="004130C6" w:rsidP="00545E56">
      <w:pPr>
        <w:pStyle w:val="NoSpacing"/>
        <w:spacing w:line="480" w:lineRule="auto"/>
        <w:rPr>
          <w:rFonts w:asciiTheme="minorHAnsi" w:hAnsiTheme="minorHAnsi" w:cstheme="minorHAnsi"/>
        </w:rPr>
      </w:pPr>
      <w:r w:rsidRPr="00DA5613">
        <w:rPr>
          <w:rFonts w:asciiTheme="minorHAnsi" w:hAnsiTheme="minorHAnsi" w:cstheme="minorHAnsi"/>
        </w:rPr>
        <w:tab/>
        <w:t xml:space="preserve">Here, enjoining Defendants from enforcing GA-38 against school districts would redress Plaintiffs’ actual and imminent injuries.  According to a member of the Fort Bend ISD Board of Trustees, “[i]f the AG stopped enforcing GA-38, or there is an order barring enforcement of GA-38, the FBISD mask requirement would immediately go back into effect.”  Ex. </w:t>
      </w:r>
      <w:r w:rsidR="00806104">
        <w:rPr>
          <w:rFonts w:asciiTheme="minorHAnsi" w:hAnsiTheme="minorHAnsi" w:cstheme="minorHAnsi"/>
        </w:rPr>
        <w:t>22</w:t>
      </w:r>
      <w:r w:rsidRPr="00DA5613">
        <w:rPr>
          <w:rFonts w:asciiTheme="minorHAnsi" w:hAnsiTheme="minorHAnsi" w:cstheme="minorHAnsi"/>
        </w:rPr>
        <w:t xml:space="preserve">, ¶ 22.  Other school districts, such as Killeen ISD that have stopped requiring masks likely because of Defendants’ enforcement of GA-38 would </w:t>
      </w:r>
      <w:r w:rsidR="00EC0F84" w:rsidRPr="00DA5613">
        <w:rPr>
          <w:rFonts w:asciiTheme="minorHAnsi" w:hAnsiTheme="minorHAnsi" w:cstheme="minorHAnsi"/>
        </w:rPr>
        <w:t>likely</w:t>
      </w:r>
      <w:r w:rsidRPr="00DA5613">
        <w:rPr>
          <w:rFonts w:asciiTheme="minorHAnsi" w:hAnsiTheme="minorHAnsi" w:cstheme="minorHAnsi"/>
        </w:rPr>
        <w:t xml:space="preserve"> also require masks again if the Court orders Defendants to stop enforcing GA-38.  Indeed, </w:t>
      </w:r>
      <w:r w:rsidR="000F412D">
        <w:rPr>
          <w:rFonts w:asciiTheme="minorHAnsi" w:hAnsiTheme="minorHAnsi" w:cstheme="minorHAnsi"/>
        </w:rPr>
        <w:t>t</w:t>
      </w:r>
      <w:r w:rsidRPr="00DA5613">
        <w:rPr>
          <w:rFonts w:asciiTheme="minorHAnsi" w:hAnsiTheme="minorHAnsi" w:cstheme="minorHAnsi"/>
        </w:rPr>
        <w:t xml:space="preserve">he Attorney General’s enforcement was the only reason Trenton ISD stopped requiring masks.  Ex. </w:t>
      </w:r>
      <w:r w:rsidR="00806104">
        <w:rPr>
          <w:rFonts w:asciiTheme="minorHAnsi" w:hAnsiTheme="minorHAnsi" w:cstheme="minorHAnsi"/>
        </w:rPr>
        <w:t>100</w:t>
      </w:r>
      <w:r w:rsidRPr="00DA5613">
        <w:rPr>
          <w:rFonts w:asciiTheme="minorHAnsi" w:hAnsiTheme="minorHAnsi" w:cstheme="minorHAnsi"/>
        </w:rPr>
        <w:t>.  Moreover, ordering the Attorney General to stop enforcing GA-38 would end the Attorney General’s lawsuits that have created a substantial risk that S.P.</w:t>
      </w:r>
      <w:r w:rsidR="00DA5613" w:rsidRPr="00DA5613">
        <w:rPr>
          <w:rFonts w:asciiTheme="minorHAnsi" w:hAnsiTheme="minorHAnsi" w:cstheme="minorHAnsi"/>
        </w:rPr>
        <w:t xml:space="preserve"> and </w:t>
      </w:r>
      <w:r w:rsidRPr="00DA5613">
        <w:rPr>
          <w:rFonts w:asciiTheme="minorHAnsi" w:hAnsiTheme="minorHAnsi" w:cstheme="minorHAnsi"/>
        </w:rPr>
        <w:t xml:space="preserve">E.T., will </w:t>
      </w:r>
      <w:r w:rsidR="00DA5613" w:rsidRPr="00DA5613">
        <w:rPr>
          <w:rFonts w:asciiTheme="minorHAnsi" w:hAnsiTheme="minorHAnsi" w:cstheme="minorHAnsi"/>
          <w:color w:val="auto"/>
        </w:rPr>
        <w:t xml:space="preserve">be denied meaningful access and </w:t>
      </w:r>
      <w:r w:rsidRPr="00DA5613">
        <w:rPr>
          <w:rFonts w:asciiTheme="minorHAnsi" w:hAnsiTheme="minorHAnsi" w:cstheme="minorHAnsi"/>
        </w:rPr>
        <w:t xml:space="preserve">lose the opportunity to attend school in person.  Such an order would also end the Attorney General’s letter writing campaign that likely caused Trenton ISD and Killeen ISD to stop requiring masks and stop the TEA’s guidance that is intended to dissuade schools from requiring masks.  Thus, an order enjoining </w:t>
      </w:r>
      <w:r w:rsidR="00DA5613" w:rsidRPr="00DA5613">
        <w:rPr>
          <w:rFonts w:asciiTheme="minorHAnsi" w:hAnsiTheme="minorHAnsi" w:cstheme="minorHAnsi"/>
        </w:rPr>
        <w:t>D</w:t>
      </w:r>
      <w:r w:rsidRPr="00DA5613">
        <w:rPr>
          <w:rFonts w:asciiTheme="minorHAnsi" w:hAnsiTheme="minorHAnsi" w:cstheme="minorHAnsi"/>
        </w:rPr>
        <w:t>efendants from enforcing GA-38 would likely redress Plaintiffs</w:t>
      </w:r>
      <w:r w:rsidR="000F412D">
        <w:rPr>
          <w:rFonts w:asciiTheme="minorHAnsi" w:hAnsiTheme="minorHAnsi" w:cstheme="minorHAnsi"/>
        </w:rPr>
        <w:t>’</w:t>
      </w:r>
      <w:r w:rsidRPr="00DA5613">
        <w:rPr>
          <w:rFonts w:asciiTheme="minorHAnsi" w:hAnsiTheme="minorHAnsi" w:cstheme="minorHAnsi"/>
        </w:rPr>
        <w:t xml:space="preserve"> actual and imminent injuries because such an order would pave the way for school districts to require masks that would require masks but for Defendants’ conduct. </w:t>
      </w:r>
      <w:r w:rsidR="00BB1355">
        <w:rPr>
          <w:rFonts w:asciiTheme="minorHAnsi" w:hAnsiTheme="minorHAnsi" w:cstheme="minorHAnsi"/>
        </w:rPr>
        <w:t xml:space="preserve"> </w:t>
      </w:r>
      <w:r w:rsidR="00BB1355" w:rsidRPr="00BB1355">
        <w:rPr>
          <w:rFonts w:asciiTheme="minorHAnsi" w:hAnsiTheme="minorHAnsi" w:cstheme="minorHAnsi"/>
          <w:i/>
        </w:rPr>
        <w:t>See, e.g.</w:t>
      </w:r>
      <w:r w:rsidR="00BB1355">
        <w:rPr>
          <w:rFonts w:asciiTheme="minorHAnsi" w:hAnsiTheme="minorHAnsi" w:cstheme="minorHAnsi"/>
          <w:iCs/>
        </w:rPr>
        <w:t>,</w:t>
      </w:r>
      <w:r w:rsidR="00BB1355" w:rsidRPr="00BB1355">
        <w:rPr>
          <w:rFonts w:asciiTheme="minorHAnsi" w:hAnsiTheme="minorHAnsi" w:cstheme="minorHAnsi"/>
          <w:iCs/>
        </w:rPr>
        <w:t xml:space="preserve"> </w:t>
      </w:r>
      <w:r w:rsidR="00BB1355" w:rsidRPr="00BB1355">
        <w:rPr>
          <w:rFonts w:asciiTheme="minorHAnsi" w:hAnsiTheme="minorHAnsi" w:cstheme="minorHAnsi"/>
          <w:i/>
        </w:rPr>
        <w:t>ARC of Iowa</w:t>
      </w:r>
      <w:r w:rsidR="00BB1355" w:rsidRPr="00BB1355">
        <w:rPr>
          <w:rFonts w:asciiTheme="minorHAnsi" w:hAnsiTheme="minorHAnsi" w:cstheme="minorHAnsi"/>
          <w:iCs/>
        </w:rPr>
        <w:t>, 2021 WL 4166728, at *7 (finding the plaintiffs have standing to challenge the state ban on masks because without enforcement of the law, districts who had previously enforced mask mandates would have discretion to do again).</w:t>
      </w:r>
    </w:p>
    <w:p w14:paraId="1B83F08C" w14:textId="759FB68E" w:rsidR="00EC0F84" w:rsidRDefault="004130C6" w:rsidP="00200849">
      <w:pPr>
        <w:pStyle w:val="NoSpacing"/>
        <w:spacing w:line="480" w:lineRule="auto"/>
        <w:rPr>
          <w:rFonts w:asciiTheme="minorHAnsi" w:hAnsiTheme="minorHAnsi" w:cstheme="minorHAnsi"/>
        </w:rPr>
      </w:pPr>
      <w:r w:rsidRPr="00DA5613">
        <w:rPr>
          <w:rFonts w:asciiTheme="minorHAnsi" w:hAnsiTheme="minorHAnsi" w:cstheme="minorHAnsi"/>
        </w:rPr>
        <w:tab/>
        <w:t xml:space="preserve">Defendants cannot contend that Plaintiffs fail to meet the redressability requirement because Plaintiffs’ sought relief would leave local district attorneys free to enforce GA-38.  Aside from the fact that Defendants’ argument depends on the premise that local authorities will enforce an executive order a federal court has declared unconstitutional, </w:t>
      </w:r>
      <w:r w:rsidRPr="00DA5613">
        <w:rPr>
          <w:rFonts w:asciiTheme="minorHAnsi" w:hAnsiTheme="minorHAnsi" w:cstheme="minorHAnsi"/>
          <w:i/>
          <w:iCs/>
        </w:rPr>
        <w:t>Uzueg</w:t>
      </w:r>
      <w:r w:rsidR="000F412D">
        <w:rPr>
          <w:rFonts w:asciiTheme="minorHAnsi" w:hAnsiTheme="minorHAnsi" w:cstheme="minorHAnsi"/>
          <w:i/>
          <w:iCs/>
        </w:rPr>
        <w:t>b</w:t>
      </w:r>
      <w:r w:rsidRPr="00DA5613">
        <w:rPr>
          <w:rFonts w:asciiTheme="minorHAnsi" w:hAnsiTheme="minorHAnsi" w:cstheme="minorHAnsi"/>
          <w:i/>
          <w:iCs/>
        </w:rPr>
        <w:t>unam</w:t>
      </w:r>
      <w:r w:rsidRPr="00DA5613">
        <w:rPr>
          <w:rFonts w:asciiTheme="minorHAnsi" w:hAnsiTheme="minorHAnsi" w:cstheme="minorHAnsi"/>
        </w:rPr>
        <w:t xml:space="preserve"> makes clear that a partial remedy can satisfy the redressability requirement.  141 S. Ct. at 801–02.  </w:t>
      </w:r>
    </w:p>
    <w:p w14:paraId="70AF5654" w14:textId="2561298E" w:rsidR="004130C6" w:rsidRPr="00DA5613" w:rsidRDefault="004130C6" w:rsidP="0052109B">
      <w:pPr>
        <w:pStyle w:val="NoSpacing"/>
        <w:spacing w:line="480" w:lineRule="auto"/>
        <w:ind w:firstLine="720"/>
        <w:rPr>
          <w:rFonts w:asciiTheme="minorHAnsi" w:hAnsiTheme="minorHAnsi" w:cstheme="minorHAnsi"/>
        </w:rPr>
      </w:pPr>
      <w:r w:rsidRPr="00DA5613">
        <w:rPr>
          <w:rFonts w:asciiTheme="minorHAnsi" w:hAnsiTheme="minorHAnsi" w:cstheme="minorHAnsi"/>
        </w:rPr>
        <w:t xml:space="preserve">Article III simply does not require Plaintiffs to sue every defendant that could possibly enforce GA-38 against them.  The ones actually enforcing it are enough.  Plaintiffs have standing.   </w:t>
      </w:r>
    </w:p>
    <w:p w14:paraId="7D6ADFA7" w14:textId="77777777" w:rsidR="004130C6" w:rsidRPr="00DA5613" w:rsidRDefault="004130C6" w:rsidP="00200849">
      <w:pPr>
        <w:pStyle w:val="pleadingtls3"/>
        <w:spacing w:after="0"/>
        <w:rPr>
          <w:rFonts w:eastAsia="Times New Roman"/>
          <w:color w:val="000000"/>
        </w:rPr>
      </w:pPr>
      <w:bookmarkStart w:id="145" w:name="_Toc83814468"/>
      <w:bookmarkStart w:id="146" w:name="_Toc83846184"/>
      <w:r w:rsidRPr="00DA5613">
        <w:rPr>
          <w:rFonts w:eastAsia="Times New Roman"/>
        </w:rPr>
        <w:t>Defendants have violated the ADA and Rehabilitation Act.</w:t>
      </w:r>
      <w:bookmarkEnd w:id="145"/>
      <w:bookmarkEnd w:id="146"/>
      <w:r w:rsidRPr="00DA5613">
        <w:rPr>
          <w:rFonts w:eastAsia="Times New Roman"/>
        </w:rPr>
        <w:t xml:space="preserve">  </w:t>
      </w:r>
    </w:p>
    <w:p w14:paraId="0813060D" w14:textId="77777777" w:rsidR="004130C6" w:rsidRPr="00DA5613" w:rsidRDefault="004130C6" w:rsidP="00545E56">
      <w:pPr>
        <w:widowControl w:val="0"/>
        <w:rPr>
          <w:rFonts w:asciiTheme="minorHAnsi" w:eastAsia="Times New Roman" w:hAnsiTheme="minorHAnsi" w:cstheme="minorHAnsi"/>
          <w:b/>
          <w:color w:val="000000"/>
        </w:rPr>
      </w:pPr>
    </w:p>
    <w:p w14:paraId="5CDBE847" w14:textId="28AE799A" w:rsidR="004130C6" w:rsidRPr="00DA5613" w:rsidRDefault="004130C6" w:rsidP="00545E56">
      <w:pPr>
        <w:widowControl w:val="0"/>
        <w:spacing w:line="480" w:lineRule="auto"/>
        <w:ind w:firstLine="720"/>
        <w:textAlignment w:val="baseline"/>
        <w:rPr>
          <w:rFonts w:asciiTheme="minorHAnsi" w:eastAsia="Times New Roman" w:hAnsiTheme="minorHAnsi" w:cstheme="minorHAnsi"/>
          <w:color w:val="000000"/>
        </w:rPr>
      </w:pPr>
      <w:r w:rsidRPr="00DA5613">
        <w:rPr>
          <w:rFonts w:asciiTheme="minorHAnsi" w:eastAsia="Times New Roman" w:hAnsiTheme="minorHAnsi" w:cstheme="minorHAnsi"/>
          <w:color w:val="auto"/>
        </w:rPr>
        <w:t>The evaluation of a claim of disability discrimination under the ADA and Section 504 is substantially the same.</w:t>
      </w:r>
      <w:r w:rsidRPr="00DA5613">
        <w:rPr>
          <w:rFonts w:asciiTheme="minorHAnsi" w:eastAsia="Times New Roman" w:hAnsiTheme="minorHAnsi" w:cstheme="minorHAnsi"/>
          <w:color w:val="auto"/>
          <w:vertAlign w:val="superscript"/>
        </w:rPr>
        <w:footnoteReference w:id="42"/>
      </w:r>
      <w:r w:rsidRPr="00DA5613">
        <w:rPr>
          <w:rFonts w:asciiTheme="minorHAnsi" w:eastAsia="Times New Roman" w:hAnsiTheme="minorHAnsi" w:cstheme="minorHAnsi"/>
          <w:color w:val="auto"/>
        </w:rPr>
        <w:t xml:space="preserve">  To establish a violation, Plaintiffs must demonstrate that (1) they are qualified individuals with disabilities under the ADA and Section 504, (2) they are being excluded from participation in, or being denied the benefits of their public education; and (3) the discrimination is due to disability.  Here, the ban on mask requirements is forcing the plaintiffs to choose between staying at home to protect their health and safety, and thus forgoing the benefits of in-person education, or exposing themselves to serious risk of illness or death by appearing for in-person classes in the absence of the most important and effective COVID-19 prevention strategy.  As discussed below, students in both categories have been denied meaningful access to their public schools and are suffering disability discrimination.</w:t>
      </w:r>
    </w:p>
    <w:p w14:paraId="7B6AD789" w14:textId="1B65A584" w:rsidR="004130C6" w:rsidRPr="00DA5613" w:rsidRDefault="004130C6" w:rsidP="00545E56">
      <w:pPr>
        <w:widowControl w:val="0"/>
        <w:spacing w:line="480" w:lineRule="auto"/>
        <w:ind w:firstLine="720"/>
        <w:textAlignment w:val="baseline"/>
        <w:rPr>
          <w:rFonts w:asciiTheme="minorHAnsi" w:hAnsiTheme="minorHAnsi" w:cstheme="minorHAnsi"/>
        </w:rPr>
      </w:pPr>
      <w:bookmarkStart w:id="147" w:name="_Hlk82509710"/>
      <w:bookmarkStart w:id="148" w:name="_Hlk82261064"/>
      <w:r w:rsidRPr="00DA5613">
        <w:rPr>
          <w:rFonts w:asciiTheme="minorHAnsi" w:eastAsia="Times New Roman" w:hAnsiTheme="minorHAnsi" w:cstheme="minorHAnsi"/>
          <w:color w:val="auto"/>
        </w:rPr>
        <w:t xml:space="preserve">All the federal courts to have addressed similar ADA/Rehabilitation Act claims challenging state-wide limitations on the use of masks have found that the plaintiff students are likely to succeed on the merits of their ADA and Section 504 claims. </w:t>
      </w:r>
      <w:bookmarkEnd w:id="147"/>
      <w:r w:rsidRPr="00DA5613">
        <w:rPr>
          <w:rFonts w:asciiTheme="minorHAnsi" w:eastAsia="Times New Roman" w:hAnsiTheme="minorHAnsi" w:cstheme="minorHAnsi"/>
          <w:color w:val="auto"/>
        </w:rPr>
        <w:t xml:space="preserve"> In the first case heard, </w:t>
      </w:r>
      <w:r w:rsidRPr="00DA5613">
        <w:rPr>
          <w:rFonts w:asciiTheme="minorHAnsi" w:eastAsia="Times New Roman" w:hAnsiTheme="minorHAnsi" w:cstheme="minorHAnsi"/>
          <w:i/>
          <w:color w:val="auto"/>
        </w:rPr>
        <w:t>G.S</w:t>
      </w:r>
      <w:r w:rsidRPr="00DA5613">
        <w:rPr>
          <w:rFonts w:asciiTheme="minorHAnsi" w:eastAsia="Times New Roman" w:hAnsiTheme="minorHAnsi" w:cstheme="minorHAnsi"/>
          <w:color w:val="auto"/>
        </w:rPr>
        <w:t>., the court granted a TRO in favor of the plaintiffs,</w:t>
      </w:r>
      <w:r w:rsidRPr="00DA5613">
        <w:rPr>
          <w:rFonts w:asciiTheme="minorHAnsi" w:eastAsia="Times New Roman" w:hAnsiTheme="minorHAnsi" w:cstheme="minorHAnsi"/>
          <w:color w:val="auto"/>
          <w:vertAlign w:val="superscript"/>
        </w:rPr>
        <w:footnoteReference w:id="43"/>
      </w:r>
      <w:r w:rsidRPr="00DA5613">
        <w:rPr>
          <w:rFonts w:asciiTheme="minorHAnsi" w:eastAsia="Times New Roman" w:hAnsiTheme="minorHAnsi" w:cstheme="minorHAnsi"/>
          <w:color w:val="auto"/>
        </w:rPr>
        <w:t xml:space="preserve"> followed by a preliminary injunction.</w:t>
      </w:r>
      <w:r w:rsidRPr="00DA5613">
        <w:rPr>
          <w:rFonts w:asciiTheme="minorHAnsi" w:eastAsia="Times New Roman" w:hAnsiTheme="minorHAnsi" w:cstheme="minorHAnsi"/>
          <w:color w:val="auto"/>
          <w:vertAlign w:val="superscript"/>
        </w:rPr>
        <w:footnoteReference w:id="44"/>
      </w:r>
      <w:r w:rsidRPr="00DA5613">
        <w:rPr>
          <w:rFonts w:asciiTheme="minorHAnsi" w:eastAsia="Times New Roman" w:hAnsiTheme="minorHAnsi" w:cstheme="minorHAnsi"/>
          <w:color w:val="auto"/>
        </w:rPr>
        <w:t xml:space="preserve">  In the next two cases to be heard, the courts have granted plaintiffs’ requests for TROs.</w:t>
      </w:r>
      <w:r w:rsidRPr="00DA5613">
        <w:rPr>
          <w:rFonts w:asciiTheme="minorHAnsi" w:eastAsia="Times New Roman" w:hAnsiTheme="minorHAnsi" w:cstheme="minorHAnsi"/>
          <w:color w:val="auto"/>
          <w:vertAlign w:val="superscript"/>
        </w:rPr>
        <w:footnoteReference w:id="45"/>
      </w:r>
      <w:r w:rsidRPr="00DA5613">
        <w:rPr>
          <w:rFonts w:asciiTheme="minorHAnsi" w:eastAsia="Times New Roman" w:hAnsiTheme="minorHAnsi" w:cstheme="minorHAnsi"/>
          <w:color w:val="auto"/>
        </w:rPr>
        <w:t xml:space="preserve">  In the fourth case, the court denied the plaintiff’s original request for a TRO in favor of an evidentiary hearing,</w:t>
      </w:r>
      <w:r w:rsidRPr="00DA5613">
        <w:rPr>
          <w:rFonts w:asciiTheme="minorHAnsi" w:eastAsia="Times New Roman" w:hAnsiTheme="minorHAnsi" w:cstheme="minorHAnsi"/>
          <w:color w:val="auto"/>
          <w:vertAlign w:val="superscript"/>
        </w:rPr>
        <w:footnoteReference w:id="46"/>
      </w:r>
      <w:r w:rsidRPr="00DA5613">
        <w:rPr>
          <w:rFonts w:asciiTheme="minorHAnsi" w:eastAsia="Times New Roman" w:hAnsiTheme="minorHAnsi" w:cstheme="minorHAnsi"/>
          <w:color w:val="auto"/>
        </w:rPr>
        <w:t xml:space="preserve"> and then entered a preliminary injunction in the plaintiff’s favor.</w:t>
      </w:r>
      <w:r w:rsidRPr="00DA5613">
        <w:rPr>
          <w:rFonts w:asciiTheme="minorHAnsi" w:eastAsia="Times New Roman" w:hAnsiTheme="minorHAnsi" w:cstheme="minorHAnsi"/>
          <w:color w:val="auto"/>
          <w:vertAlign w:val="superscript"/>
        </w:rPr>
        <w:footnoteReference w:id="47"/>
      </w:r>
      <w:r w:rsidRPr="00DA5613">
        <w:rPr>
          <w:rFonts w:asciiTheme="minorHAnsi" w:eastAsia="Times New Roman" w:hAnsiTheme="minorHAnsi" w:cstheme="minorHAnsi"/>
          <w:color w:val="auto"/>
        </w:rPr>
        <w:t xml:space="preserve"> The plaintiffs in each of these cases are students with disabilities who have medical conditions that place them at higher risk of severe illness or death if they contract COVID-19; some of the plaintiffs have been staying at home due to the respective state ban</w:t>
      </w:r>
      <w:r w:rsidR="000F412D">
        <w:rPr>
          <w:rFonts w:asciiTheme="minorHAnsi" w:eastAsia="Times New Roman" w:hAnsiTheme="minorHAnsi" w:cstheme="minorHAnsi"/>
          <w:color w:val="auto"/>
        </w:rPr>
        <w:t>s</w:t>
      </w:r>
      <w:r w:rsidRPr="00DA5613">
        <w:rPr>
          <w:rFonts w:asciiTheme="minorHAnsi" w:eastAsia="Times New Roman" w:hAnsiTheme="minorHAnsi" w:cstheme="minorHAnsi"/>
          <w:color w:val="auto"/>
        </w:rPr>
        <w:t xml:space="preserve"> on masking policies, but a majority have been attending in-person school at significant risk to their health.</w:t>
      </w:r>
      <w:r w:rsidRPr="00DA5613">
        <w:rPr>
          <w:rFonts w:asciiTheme="minorHAnsi" w:eastAsia="Times New Roman" w:hAnsiTheme="minorHAnsi" w:cstheme="minorHAnsi"/>
          <w:color w:val="auto"/>
          <w:vertAlign w:val="superscript"/>
        </w:rPr>
        <w:footnoteReference w:id="48"/>
      </w:r>
      <w:r w:rsidRPr="00DA5613">
        <w:rPr>
          <w:rFonts w:asciiTheme="minorHAnsi" w:eastAsia="Times New Roman" w:hAnsiTheme="minorHAnsi" w:cstheme="minorHAnsi"/>
          <w:color w:val="auto"/>
        </w:rPr>
        <w:t xml:space="preserve">  The Tennessee court in </w:t>
      </w:r>
      <w:r w:rsidRPr="00DA5613">
        <w:rPr>
          <w:rFonts w:asciiTheme="minorHAnsi" w:eastAsia="Times New Roman" w:hAnsiTheme="minorHAnsi" w:cstheme="minorHAnsi"/>
          <w:i/>
          <w:color w:val="auto"/>
        </w:rPr>
        <w:t>G.S</w:t>
      </w:r>
      <w:r w:rsidRPr="00DA5613">
        <w:rPr>
          <w:rFonts w:asciiTheme="minorHAnsi" w:eastAsia="Times New Roman" w:hAnsiTheme="minorHAnsi" w:cstheme="minorHAnsi"/>
          <w:color w:val="auto"/>
        </w:rPr>
        <w:t>. concluded the plaintiffs, all three of whom are attending school in person, “have established that their exclusion is due to the threat Plaintiffs face from COVID-19 exposure because of their extreme medical vulnerabilities—in other words, due to their disabilities.”</w:t>
      </w:r>
      <w:r w:rsidRPr="00DA5613">
        <w:rPr>
          <w:rFonts w:asciiTheme="minorHAnsi" w:eastAsia="Times New Roman" w:hAnsiTheme="minorHAnsi" w:cstheme="minorHAnsi"/>
          <w:color w:val="auto"/>
          <w:vertAlign w:val="superscript"/>
        </w:rPr>
        <w:footnoteReference w:id="49"/>
      </w:r>
      <w:r w:rsidRPr="00DA5613">
        <w:rPr>
          <w:rFonts w:asciiTheme="minorHAnsi" w:eastAsia="Times New Roman" w:hAnsiTheme="minorHAnsi" w:cstheme="minorHAnsi"/>
          <w:color w:val="auto"/>
        </w:rPr>
        <w:t xml:space="preserve">  </w:t>
      </w:r>
      <w:r w:rsidR="00BB1355">
        <w:rPr>
          <w:rFonts w:asciiTheme="minorHAnsi" w:eastAsia="Times New Roman" w:hAnsiTheme="minorHAnsi" w:cstheme="minorHAnsi"/>
          <w:color w:val="auto"/>
        </w:rPr>
        <w:t xml:space="preserve">In a fifth case, </w:t>
      </w:r>
      <w:r w:rsidR="00BB1355" w:rsidRPr="00461DB5">
        <w:rPr>
          <w:rFonts w:asciiTheme="minorHAnsi" w:eastAsia="Times New Roman" w:hAnsiTheme="minorHAnsi" w:cstheme="minorHAnsi"/>
          <w:i/>
          <w:color w:val="auto"/>
        </w:rPr>
        <w:t>Disability Rights South Carolina</w:t>
      </w:r>
      <w:r w:rsidR="00BB1355">
        <w:rPr>
          <w:rFonts w:asciiTheme="minorHAnsi" w:eastAsia="Times New Roman" w:hAnsiTheme="minorHAnsi" w:cstheme="minorHAnsi"/>
          <w:color w:val="auto"/>
        </w:rPr>
        <w:t>, the court issued a preliminary injunction in favor of plaintiffs, finding, “This was not a close call.  The General Assembly’s COVID measures disallowing school districts from mandating masks . . . discriminates against children with disabilities.  Thus, with this Order, the Court will enjoin its enforcement.”</w:t>
      </w:r>
      <w:r w:rsidR="00BB1355">
        <w:rPr>
          <w:rStyle w:val="FootnoteReference"/>
          <w:rFonts w:asciiTheme="minorHAnsi" w:eastAsia="Times New Roman" w:hAnsiTheme="minorHAnsi" w:cstheme="minorHAnsi"/>
          <w:color w:val="auto"/>
        </w:rPr>
        <w:footnoteReference w:id="50"/>
      </w:r>
    </w:p>
    <w:p w14:paraId="4CDBAA9D" w14:textId="77777777" w:rsidR="004130C6" w:rsidRPr="00DA5613" w:rsidRDefault="004130C6" w:rsidP="005C54C1">
      <w:pPr>
        <w:pStyle w:val="pleadingtls4"/>
        <w:rPr>
          <w:rFonts w:eastAsia="Times New Roman"/>
        </w:rPr>
      </w:pPr>
      <w:bookmarkStart w:id="149" w:name="_Toc83814469"/>
      <w:bookmarkStart w:id="150" w:name="_Toc83846185"/>
      <w:r w:rsidRPr="00DA5613">
        <w:rPr>
          <w:rFonts w:eastAsia="Times New Roman"/>
        </w:rPr>
        <w:t>Plaintiffs are qualified individuals with disabilities.</w:t>
      </w:r>
      <w:bookmarkEnd w:id="149"/>
      <w:bookmarkEnd w:id="150"/>
    </w:p>
    <w:p w14:paraId="3A716819" w14:textId="77777777" w:rsidR="004130C6" w:rsidRPr="00DA5613" w:rsidRDefault="004130C6" w:rsidP="00545E56">
      <w:pPr>
        <w:widowControl w:val="0"/>
        <w:spacing w:line="480" w:lineRule="auto"/>
        <w:ind w:firstLine="720"/>
        <w:rPr>
          <w:rFonts w:asciiTheme="minorHAnsi" w:hAnsiTheme="minorHAnsi" w:cstheme="minorHAnsi"/>
          <w:color w:val="202124"/>
          <w:shd w:val="clear" w:color="auto" w:fill="FFFFFF"/>
        </w:rPr>
      </w:pPr>
      <w:r w:rsidRPr="00DA5613">
        <w:rPr>
          <w:rFonts w:asciiTheme="minorHAnsi" w:hAnsiTheme="minorHAnsi" w:cstheme="minorHAnsi"/>
          <w:color w:val="000000"/>
          <w:shd w:val="clear" w:color="auto" w:fill="FFFFFF"/>
        </w:rPr>
        <w:t xml:space="preserve">A disability under the ADA and Section 504 is defined as “a physical or mental impairment that substantially limits one or more major </w:t>
      </w:r>
      <w:bookmarkEnd w:id="148"/>
      <w:r w:rsidRPr="00DA5613">
        <w:rPr>
          <w:rFonts w:asciiTheme="minorHAnsi" w:hAnsiTheme="minorHAnsi" w:cstheme="minorHAnsi"/>
          <w:color w:val="000000"/>
          <w:shd w:val="clear" w:color="auto" w:fill="FFFFFF"/>
        </w:rPr>
        <w:t>life activities</w:t>
      </w:r>
      <w:r w:rsidRPr="00DA5613">
        <w:rPr>
          <w:rFonts w:asciiTheme="minorHAnsi" w:hAnsiTheme="minorHAnsi" w:cstheme="minorHAnsi"/>
        </w:rPr>
        <w:t>.”</w:t>
      </w:r>
      <w:r w:rsidRPr="00DA5613">
        <w:rPr>
          <w:rFonts w:asciiTheme="minorHAnsi" w:hAnsiTheme="minorHAnsi" w:cstheme="minorHAnsi"/>
          <w:vertAlign w:val="superscript"/>
        </w:rPr>
        <w:footnoteReference w:id="51"/>
      </w:r>
      <w:r w:rsidRPr="00DA5613">
        <w:rPr>
          <w:rFonts w:asciiTheme="minorHAnsi" w:hAnsiTheme="minorHAnsi" w:cstheme="minorHAnsi"/>
        </w:rPr>
        <w:t xml:space="preserve">  As stipulated to by the parties, each plaintiff has a disability as defined under Section 504 and the ADA.</w:t>
      </w:r>
      <w:r w:rsidRPr="00DA5613">
        <w:rPr>
          <w:rFonts w:asciiTheme="minorHAnsi" w:hAnsiTheme="minorHAnsi" w:cstheme="minorHAnsi"/>
          <w:vertAlign w:val="superscript"/>
        </w:rPr>
        <w:footnoteReference w:id="52"/>
      </w:r>
      <w:r w:rsidRPr="00DA5613">
        <w:rPr>
          <w:rFonts w:asciiTheme="minorHAnsi" w:hAnsiTheme="minorHAnsi" w:cstheme="minorHAnsi"/>
        </w:rPr>
        <w:t xml:space="preserve">  Additionally, each plaintiff is eligible to enroll and attend the local public school.</w:t>
      </w:r>
      <w:r w:rsidRPr="00DA5613">
        <w:rPr>
          <w:rFonts w:asciiTheme="minorHAnsi" w:hAnsiTheme="minorHAnsi" w:cstheme="minorHAnsi"/>
          <w:vertAlign w:val="superscript"/>
        </w:rPr>
        <w:footnoteReference w:id="53"/>
      </w:r>
      <w:r w:rsidRPr="00DA5613">
        <w:rPr>
          <w:rFonts w:asciiTheme="minorHAnsi" w:hAnsiTheme="minorHAnsi" w:cstheme="minorHAnsi"/>
        </w:rPr>
        <w:t xml:space="preserve">   </w:t>
      </w:r>
    </w:p>
    <w:p w14:paraId="2BB3510A" w14:textId="77777777" w:rsidR="004130C6" w:rsidRPr="00DA5613" w:rsidRDefault="004130C6" w:rsidP="005C54C1">
      <w:pPr>
        <w:pStyle w:val="pleadingtls4"/>
        <w:rPr>
          <w:rFonts w:eastAsia="Times New Roman"/>
        </w:rPr>
      </w:pPr>
      <w:bookmarkStart w:id="151" w:name="_Toc83814470"/>
      <w:bookmarkStart w:id="152" w:name="_Toc83846186"/>
      <w:r w:rsidRPr="00DA5613">
        <w:rPr>
          <w:rFonts w:eastAsia="Times New Roman"/>
        </w:rPr>
        <w:t>G.A. 38 discriminates against Plaintiffs.</w:t>
      </w:r>
      <w:bookmarkEnd w:id="151"/>
      <w:bookmarkEnd w:id="152"/>
    </w:p>
    <w:p w14:paraId="2DFE315A" w14:textId="77777777" w:rsidR="004130C6" w:rsidRPr="00DA5613" w:rsidRDefault="004130C6" w:rsidP="00545E56">
      <w:pPr>
        <w:widowControl w:val="0"/>
        <w:spacing w:line="480" w:lineRule="auto"/>
        <w:ind w:firstLine="720"/>
        <w:rPr>
          <w:rFonts w:asciiTheme="minorHAnsi" w:hAnsiTheme="minorHAnsi" w:cstheme="minorHAnsi"/>
        </w:rPr>
      </w:pPr>
      <w:r w:rsidRPr="00DA5613">
        <w:rPr>
          <w:rFonts w:asciiTheme="minorHAnsi" w:eastAsia="Times New Roman" w:hAnsiTheme="minorHAnsi" w:cstheme="minorHAnsi"/>
        </w:rPr>
        <w:t>The focus of both the ADA and Section 504 is prohibiting discrimination for those with disabilities.</w:t>
      </w:r>
      <w:r w:rsidRPr="00DA5613">
        <w:rPr>
          <w:rFonts w:asciiTheme="minorHAnsi" w:eastAsia="Times New Roman" w:hAnsiTheme="minorHAnsi" w:cstheme="minorHAnsi"/>
          <w:vertAlign w:val="superscript"/>
        </w:rPr>
        <w:footnoteReference w:id="54"/>
      </w:r>
      <w:r w:rsidRPr="00DA5613">
        <w:rPr>
          <w:rFonts w:asciiTheme="minorHAnsi" w:eastAsia="Times New Roman" w:hAnsiTheme="minorHAnsi" w:cstheme="minorHAnsi"/>
        </w:rPr>
        <w:t xml:space="preserve"> </w:t>
      </w:r>
      <w:r w:rsidRPr="00DA5613">
        <w:rPr>
          <w:rFonts w:asciiTheme="minorHAnsi" w:hAnsiTheme="minorHAnsi" w:cstheme="minorHAnsi"/>
        </w:rPr>
        <w:t>Both statutes prohibit exclusion from participation, denial of benefits, or other kinds of discrimination.</w:t>
      </w:r>
      <w:r w:rsidRPr="00DA5613">
        <w:rPr>
          <w:rFonts w:asciiTheme="minorHAnsi" w:hAnsiTheme="minorHAnsi" w:cstheme="minorHAnsi"/>
          <w:vertAlign w:val="superscript"/>
        </w:rPr>
        <w:footnoteReference w:id="55"/>
      </w:r>
      <w:r w:rsidRPr="00DA5613">
        <w:rPr>
          <w:rFonts w:asciiTheme="minorHAnsi" w:hAnsiTheme="minorHAnsi" w:cstheme="minorHAnsi"/>
        </w:rPr>
        <w:t xml:space="preserve"> Unlawful discrimination includes (1) denying the opportunity to participate in or benefit from educational services, (2) affording an unequal opportunity to participate or benefit from services, or (3) limiting a person in the enjoyment of any right, privilege, advantage, or opportunity enjoyed by others.</w:t>
      </w:r>
      <w:r w:rsidRPr="00DA5613">
        <w:rPr>
          <w:rFonts w:asciiTheme="minorHAnsi" w:hAnsiTheme="minorHAnsi" w:cstheme="minorHAnsi"/>
          <w:vertAlign w:val="superscript"/>
        </w:rPr>
        <w:footnoteReference w:id="56"/>
      </w:r>
      <w:r w:rsidRPr="00DA5613">
        <w:rPr>
          <w:rFonts w:asciiTheme="minorHAnsi" w:hAnsiTheme="minorHAnsi" w:cstheme="minorHAnsi"/>
        </w:rPr>
        <w:t xml:space="preserve">  It also includes failure to make reasonable modifications in policies, practices, or procedures when such are necessary to avoid discrimination.</w:t>
      </w:r>
      <w:r w:rsidRPr="00DA5613">
        <w:rPr>
          <w:rFonts w:asciiTheme="minorHAnsi" w:hAnsiTheme="minorHAnsi" w:cstheme="minorHAnsi"/>
          <w:vertAlign w:val="superscript"/>
        </w:rPr>
        <w:footnoteReference w:id="57"/>
      </w:r>
      <w:r w:rsidRPr="00DA5613">
        <w:rPr>
          <w:rFonts w:asciiTheme="minorHAnsi" w:hAnsiTheme="minorHAnsi" w:cstheme="minorHAnsi"/>
        </w:rPr>
        <w:t xml:space="preserve"> In addition, “[a] public entity shall operate each service, program, or activity so that the service, program, or activity, when viewed in its entirety, is readily accessible to and usable by individuals with disabilities.”</w:t>
      </w:r>
      <w:r w:rsidRPr="00DA5613">
        <w:rPr>
          <w:rFonts w:asciiTheme="minorHAnsi" w:hAnsiTheme="minorHAnsi" w:cstheme="minorHAnsi"/>
          <w:vertAlign w:val="superscript"/>
        </w:rPr>
        <w:footnoteReference w:id="58"/>
      </w:r>
      <w:r w:rsidRPr="00DA5613">
        <w:rPr>
          <w:rFonts w:asciiTheme="minorHAnsi" w:hAnsiTheme="minorHAnsi" w:cstheme="minorHAnsi"/>
        </w:rPr>
        <w:t xml:space="preserve">  Thus, unlawful discrimination occurs both when there are barriers to access, and when there is a failure to provide reasonable modifications needed for meaningful access.</w:t>
      </w:r>
      <w:r w:rsidRPr="00DA5613">
        <w:rPr>
          <w:rFonts w:asciiTheme="minorHAnsi" w:hAnsiTheme="minorHAnsi" w:cstheme="minorHAnsi"/>
          <w:vertAlign w:val="superscript"/>
        </w:rPr>
        <w:footnoteReference w:id="59"/>
      </w:r>
      <w:r w:rsidRPr="00DA5613">
        <w:rPr>
          <w:rFonts w:asciiTheme="minorHAnsi" w:hAnsiTheme="minorHAnsi" w:cstheme="minorHAnsi"/>
        </w:rPr>
        <w:t xml:space="preserve">  Defendant Paxton’s actions here result in the denial of access and benefits, and prevent the provision of reasonable modifications.</w:t>
      </w:r>
    </w:p>
    <w:p w14:paraId="0BB8153A" w14:textId="2980DC79" w:rsidR="004130C6" w:rsidRPr="00B80A44" w:rsidRDefault="004130C6" w:rsidP="005C54C1">
      <w:pPr>
        <w:pStyle w:val="pleadingtls5"/>
        <w:rPr>
          <w:rFonts w:eastAsia="Times New Roman"/>
        </w:rPr>
      </w:pPr>
      <w:bookmarkStart w:id="153" w:name="_Toc83814471"/>
      <w:bookmarkStart w:id="154" w:name="_Toc83846187"/>
      <w:r w:rsidRPr="00B80A44">
        <w:rPr>
          <w:rFonts w:eastAsia="Times New Roman"/>
        </w:rPr>
        <w:t>Exclusion from in-person learning</w:t>
      </w:r>
      <w:bookmarkEnd w:id="153"/>
      <w:bookmarkEnd w:id="154"/>
    </w:p>
    <w:p w14:paraId="30130925" w14:textId="77777777" w:rsidR="004130C6" w:rsidRPr="00DA5613" w:rsidRDefault="004130C6" w:rsidP="00545E56">
      <w:pPr>
        <w:widowControl w:val="0"/>
        <w:spacing w:line="480" w:lineRule="auto"/>
        <w:ind w:firstLine="720"/>
        <w:contextualSpacing/>
        <w:rPr>
          <w:rFonts w:asciiTheme="minorHAnsi" w:hAnsiTheme="minorHAnsi" w:cstheme="minorHAnsi"/>
        </w:rPr>
      </w:pPr>
      <w:r w:rsidRPr="00DA5613">
        <w:rPr>
          <w:rFonts w:asciiTheme="minorHAnsi" w:hAnsiTheme="minorHAnsi" w:cstheme="minorHAnsi"/>
        </w:rPr>
        <w:t xml:space="preserve">Defendants’ actions deny educational access to Plaintiffs, two of whom have missed in-person school because their schools are not requiring masks as a result of GA-38, and three more who will miss in-person school if Defendant Paxton’s enforcement is successful.  </w:t>
      </w:r>
    </w:p>
    <w:p w14:paraId="65529752" w14:textId="4696F223" w:rsidR="004130C6" w:rsidRPr="00DA5613" w:rsidRDefault="004130C6" w:rsidP="00545E56">
      <w:pPr>
        <w:widowControl w:val="0"/>
        <w:numPr>
          <w:ilvl w:val="0"/>
          <w:numId w:val="18"/>
        </w:numPr>
        <w:spacing w:line="480" w:lineRule="auto"/>
        <w:contextualSpacing/>
        <w:rPr>
          <w:rFonts w:asciiTheme="minorHAnsi" w:hAnsiTheme="minorHAnsi" w:cstheme="minorHAnsi"/>
        </w:rPr>
      </w:pPr>
      <w:r w:rsidRPr="00DA5613">
        <w:rPr>
          <w:rFonts w:asciiTheme="minorHAnsi" w:hAnsiTheme="minorHAnsi" w:cstheme="minorHAnsi"/>
        </w:rPr>
        <w:t>M.P. began the school year attending class in</w:t>
      </w:r>
      <w:r w:rsidR="00DE6B57">
        <w:rPr>
          <w:rFonts w:asciiTheme="minorHAnsi" w:hAnsiTheme="minorHAnsi" w:cstheme="minorHAnsi"/>
        </w:rPr>
        <w:t xml:space="preserve"> </w:t>
      </w:r>
      <w:r w:rsidRPr="00DA5613">
        <w:rPr>
          <w:rFonts w:asciiTheme="minorHAnsi" w:hAnsiTheme="minorHAnsi" w:cstheme="minorHAnsi"/>
        </w:rPr>
        <w:t>person in Fort Bend ISD; the district adopted a mask requirement after local spread of COVID-19 forced several schools to halt in-person learning.  But the district then reversed course when the state-court injunctions were stayed.</w:t>
      </w:r>
      <w:r w:rsidRPr="00DA5613">
        <w:rPr>
          <w:rFonts w:asciiTheme="minorHAnsi" w:hAnsiTheme="minorHAnsi" w:cstheme="minorHAnsi"/>
          <w:vertAlign w:val="superscript"/>
        </w:rPr>
        <w:footnoteReference w:id="60"/>
      </w:r>
      <w:r w:rsidRPr="00DA5613">
        <w:rPr>
          <w:rFonts w:asciiTheme="minorHAnsi" w:hAnsiTheme="minorHAnsi" w:cstheme="minorHAnsi"/>
        </w:rPr>
        <w:t xml:space="preserve">  M.P.’s parents had no choice but to pull M.P. from in-person school given the rising number of cases and Fort Bend</w:t>
      </w:r>
      <w:r w:rsidR="005430CC">
        <w:rPr>
          <w:rFonts w:asciiTheme="minorHAnsi" w:hAnsiTheme="minorHAnsi" w:cstheme="minorHAnsi"/>
        </w:rPr>
        <w:t xml:space="preserve"> ISD</w:t>
      </w:r>
      <w:r w:rsidRPr="00DA5613">
        <w:rPr>
          <w:rFonts w:asciiTheme="minorHAnsi" w:hAnsiTheme="minorHAnsi" w:cstheme="minorHAnsi"/>
        </w:rPr>
        <w:t>’s adherence to GA-38.</w:t>
      </w:r>
      <w:r w:rsidRPr="00DA5613">
        <w:rPr>
          <w:rFonts w:asciiTheme="minorHAnsi" w:hAnsiTheme="minorHAnsi" w:cstheme="minorHAnsi"/>
          <w:vertAlign w:val="superscript"/>
        </w:rPr>
        <w:footnoteReference w:id="61"/>
      </w:r>
      <w:r w:rsidRPr="00DA5613">
        <w:rPr>
          <w:rFonts w:asciiTheme="minorHAnsi" w:hAnsiTheme="minorHAnsi" w:cstheme="minorHAnsi"/>
        </w:rPr>
        <w:t xml:space="preserve">  </w:t>
      </w:r>
    </w:p>
    <w:p w14:paraId="2C841E8D" w14:textId="487BD8D2" w:rsidR="004130C6" w:rsidRPr="00DA5613" w:rsidRDefault="004130C6" w:rsidP="00545E56">
      <w:pPr>
        <w:widowControl w:val="0"/>
        <w:numPr>
          <w:ilvl w:val="0"/>
          <w:numId w:val="18"/>
        </w:numPr>
        <w:spacing w:line="480" w:lineRule="auto"/>
        <w:contextualSpacing/>
        <w:rPr>
          <w:rFonts w:asciiTheme="minorHAnsi" w:hAnsiTheme="minorHAnsi" w:cstheme="minorHAnsi"/>
        </w:rPr>
      </w:pPr>
      <w:r w:rsidRPr="00DA5613">
        <w:rPr>
          <w:rFonts w:asciiTheme="minorHAnsi" w:hAnsiTheme="minorHAnsi" w:cstheme="minorHAnsi"/>
        </w:rPr>
        <w:t xml:space="preserve">H.M. began the school year attending class </w:t>
      </w:r>
      <w:r w:rsidR="00545E56">
        <w:rPr>
          <w:rFonts w:asciiTheme="minorHAnsi" w:hAnsiTheme="minorHAnsi" w:cstheme="minorHAnsi"/>
        </w:rPr>
        <w:t>in person</w:t>
      </w:r>
      <w:r w:rsidRPr="00DA5613">
        <w:rPr>
          <w:rFonts w:asciiTheme="minorHAnsi" w:hAnsiTheme="minorHAnsi" w:cstheme="minorHAnsi"/>
        </w:rPr>
        <w:t xml:space="preserve"> in Leander ISD; the district has a mask mandate that has a broad opt-out provision.</w:t>
      </w:r>
      <w:r w:rsidRPr="00DA5613">
        <w:rPr>
          <w:rFonts w:asciiTheme="minorHAnsi" w:hAnsiTheme="minorHAnsi" w:cstheme="minorHAnsi"/>
          <w:vertAlign w:val="superscript"/>
        </w:rPr>
        <w:footnoteReference w:id="62"/>
      </w:r>
      <w:r w:rsidRPr="00DA5613">
        <w:rPr>
          <w:rFonts w:asciiTheme="minorHAnsi" w:hAnsiTheme="minorHAnsi" w:cstheme="minorHAnsi"/>
        </w:rPr>
        <w:t xml:space="preserve">  After classmates tested positive for COVID-19, H.M.’s parent </w:t>
      </w:r>
      <w:r w:rsidR="005430CC">
        <w:rPr>
          <w:rFonts w:asciiTheme="minorHAnsi" w:hAnsiTheme="minorHAnsi" w:cstheme="minorHAnsi"/>
        </w:rPr>
        <w:t>kept</w:t>
      </w:r>
      <w:r w:rsidRPr="00DA5613">
        <w:rPr>
          <w:rFonts w:asciiTheme="minorHAnsi" w:hAnsiTheme="minorHAnsi" w:cstheme="minorHAnsi"/>
        </w:rPr>
        <w:t xml:space="preserve"> him home</w:t>
      </w:r>
      <w:r w:rsidR="005430CC">
        <w:rPr>
          <w:rFonts w:asciiTheme="minorHAnsi" w:hAnsiTheme="minorHAnsi" w:cstheme="minorHAnsi"/>
        </w:rPr>
        <w:t xml:space="preserve"> for his safety</w:t>
      </w:r>
      <w:r w:rsidRPr="00DA5613">
        <w:rPr>
          <w:rFonts w:asciiTheme="minorHAnsi" w:hAnsiTheme="minorHAnsi" w:cstheme="minorHAnsi"/>
        </w:rPr>
        <w:t>.</w:t>
      </w:r>
      <w:r w:rsidRPr="00DA5613">
        <w:rPr>
          <w:rFonts w:asciiTheme="minorHAnsi" w:hAnsiTheme="minorHAnsi" w:cstheme="minorHAnsi"/>
          <w:vertAlign w:val="superscript"/>
        </w:rPr>
        <w:footnoteReference w:id="63"/>
      </w:r>
      <w:r w:rsidRPr="00DA5613">
        <w:rPr>
          <w:rFonts w:asciiTheme="minorHAnsi" w:hAnsiTheme="minorHAnsi" w:cstheme="minorHAnsi"/>
        </w:rPr>
        <w:t xml:space="preserve">  After three weeks, he returned to the classroom, but his parents will pull him from in-person school if the district’s mask mandate is removed.</w:t>
      </w:r>
      <w:r w:rsidRPr="00DA5613">
        <w:rPr>
          <w:rFonts w:asciiTheme="minorHAnsi" w:hAnsiTheme="minorHAnsi" w:cstheme="minorHAnsi"/>
          <w:vertAlign w:val="superscript"/>
        </w:rPr>
        <w:footnoteReference w:id="64"/>
      </w:r>
    </w:p>
    <w:p w14:paraId="6394C111" w14:textId="77777777" w:rsidR="004130C6" w:rsidRPr="00DA5613" w:rsidRDefault="004130C6" w:rsidP="00545E56">
      <w:pPr>
        <w:widowControl w:val="0"/>
        <w:numPr>
          <w:ilvl w:val="0"/>
          <w:numId w:val="18"/>
        </w:numPr>
        <w:spacing w:line="480" w:lineRule="auto"/>
        <w:contextualSpacing/>
        <w:rPr>
          <w:rFonts w:asciiTheme="minorHAnsi" w:hAnsiTheme="minorHAnsi" w:cstheme="minorHAnsi"/>
        </w:rPr>
      </w:pPr>
      <w:r w:rsidRPr="00DA5613">
        <w:rPr>
          <w:rFonts w:asciiTheme="minorHAnsi" w:hAnsiTheme="minorHAnsi" w:cstheme="minorHAnsi"/>
        </w:rPr>
        <w:t>E.T., J.R., and A.M. are attending in-person school in districts that currently have a mask mandate, but each of their districts has either been sued or threatened with a lawsuit by Defendant Paxton.</w:t>
      </w:r>
      <w:r w:rsidRPr="00DA5613">
        <w:rPr>
          <w:rFonts w:asciiTheme="minorHAnsi" w:hAnsiTheme="minorHAnsi" w:cstheme="minorHAnsi"/>
          <w:vertAlign w:val="superscript"/>
        </w:rPr>
        <w:footnoteReference w:id="65"/>
      </w:r>
      <w:r w:rsidRPr="00DA5613">
        <w:rPr>
          <w:rFonts w:asciiTheme="minorHAnsi" w:hAnsiTheme="minorHAnsi" w:cstheme="minorHAnsi"/>
        </w:rPr>
        <w:t xml:space="preserve">  If Defendants’ enforcement of GA-38 and TEA’s Public Health Guidance is successful against these districts, the parents of each student will pull them from in-person school.</w:t>
      </w:r>
      <w:r w:rsidRPr="00DA5613">
        <w:rPr>
          <w:rFonts w:asciiTheme="minorHAnsi" w:hAnsiTheme="minorHAnsi" w:cstheme="minorHAnsi"/>
          <w:vertAlign w:val="superscript"/>
        </w:rPr>
        <w:footnoteReference w:id="66"/>
      </w:r>
      <w:r w:rsidRPr="00DA5613">
        <w:rPr>
          <w:rFonts w:asciiTheme="minorHAnsi" w:hAnsiTheme="minorHAnsi" w:cstheme="minorHAnsi"/>
        </w:rPr>
        <w:t xml:space="preserve">  </w:t>
      </w:r>
    </w:p>
    <w:p w14:paraId="5CBF8BB4" w14:textId="5239BBE4" w:rsidR="004130C6" w:rsidRPr="00DA5613" w:rsidRDefault="004130C6" w:rsidP="00545E56">
      <w:pPr>
        <w:widowControl w:val="0"/>
        <w:spacing w:line="480" w:lineRule="auto"/>
        <w:ind w:firstLine="720"/>
        <w:contextualSpacing/>
        <w:rPr>
          <w:rFonts w:asciiTheme="minorHAnsi" w:hAnsiTheme="minorHAnsi" w:cstheme="minorHAnsi"/>
        </w:rPr>
      </w:pPr>
      <w:r w:rsidRPr="00DA5613">
        <w:rPr>
          <w:rFonts w:asciiTheme="minorHAnsi" w:hAnsiTheme="minorHAnsi" w:cstheme="minorHAnsi"/>
        </w:rPr>
        <w:t>For each of these, the ban on mask requirements has created or will create an absolute barrier to the school building and to in-person learning, which is discrimination prohibited by the ADA and Section 504.</w:t>
      </w:r>
      <w:r w:rsidRPr="00DA5613">
        <w:rPr>
          <w:rFonts w:asciiTheme="minorHAnsi" w:hAnsiTheme="minorHAnsi" w:cstheme="minorHAnsi"/>
          <w:vertAlign w:val="superscript"/>
        </w:rPr>
        <w:footnoteReference w:id="67"/>
      </w:r>
      <w:r w:rsidRPr="00DA5613">
        <w:rPr>
          <w:rFonts w:asciiTheme="minorHAnsi" w:hAnsiTheme="minorHAnsi" w:cstheme="minorHAnsi"/>
        </w:rPr>
        <w:t xml:space="preserve">  The decision to stay home is not a “revealed preference” or “self-inflicted” harm, as suggested by Defendants.  It is the action of parents who have been given no choice but to forfeit the public education to which their child with a disability is entitled, in order to protect that child’s health.  </w:t>
      </w:r>
      <w:r w:rsidR="00FE3453">
        <w:rPr>
          <w:rFonts w:asciiTheme="minorHAnsi" w:hAnsiTheme="minorHAnsi" w:cstheme="minorHAnsi"/>
        </w:rPr>
        <w:t xml:space="preserve">For example, </w:t>
      </w:r>
      <w:r w:rsidRPr="00DA5613">
        <w:rPr>
          <w:rFonts w:asciiTheme="minorHAnsi" w:hAnsiTheme="minorHAnsi" w:cstheme="minorHAnsi"/>
        </w:rPr>
        <w:t>M.P., H.M., and E.T., are each individuals with Down syndrome, recognized by the CDC as placing them at increased risk from COVID-19.</w:t>
      </w:r>
      <w:r w:rsidRPr="00DA5613">
        <w:rPr>
          <w:rFonts w:asciiTheme="minorHAnsi" w:hAnsiTheme="minorHAnsi" w:cstheme="minorHAnsi"/>
          <w:vertAlign w:val="superscript"/>
        </w:rPr>
        <w:footnoteReference w:id="68"/>
      </w:r>
    </w:p>
    <w:p w14:paraId="3B5F7320" w14:textId="4AFAA5FB" w:rsidR="004130C6" w:rsidRDefault="004130C6" w:rsidP="00545E56">
      <w:pPr>
        <w:widowControl w:val="0"/>
        <w:spacing w:line="480" w:lineRule="auto"/>
        <w:ind w:firstLine="720"/>
        <w:contextualSpacing/>
        <w:rPr>
          <w:rFonts w:asciiTheme="minorHAnsi" w:hAnsiTheme="minorHAnsi" w:cstheme="minorHAnsi"/>
        </w:rPr>
      </w:pPr>
      <w:r w:rsidRPr="00DA5613">
        <w:rPr>
          <w:rFonts w:asciiTheme="minorHAnsi" w:hAnsiTheme="minorHAnsi" w:cstheme="minorHAnsi"/>
        </w:rPr>
        <w:t xml:space="preserve">Prior to the enactment of Section 504 and the ADA, people with disabilities were often faced with barriers, physical and otherwise, that prevented access to services.  The argument by the Defendants—that a decision not to cross a barrier in order to avoid a serious health risk is a self-inflicted injury—goes against the very purpose of these laws preventing disability discrimination.  </w:t>
      </w:r>
    </w:p>
    <w:p w14:paraId="0CBE646E" w14:textId="7766CCD4" w:rsidR="00782EE6" w:rsidRPr="00DA5613" w:rsidRDefault="00782EE6" w:rsidP="00782EE6">
      <w:pPr>
        <w:widowControl w:val="0"/>
        <w:spacing w:line="480" w:lineRule="auto"/>
        <w:ind w:firstLine="720"/>
        <w:contextualSpacing/>
        <w:rPr>
          <w:rFonts w:asciiTheme="minorHAnsi" w:hAnsiTheme="minorHAnsi" w:cstheme="minorHAnsi"/>
        </w:rPr>
      </w:pPr>
      <w:r>
        <w:rPr>
          <w:rFonts w:asciiTheme="minorHAnsi" w:hAnsiTheme="minorHAnsi" w:cstheme="minorHAnsi"/>
        </w:rPr>
        <w:t xml:space="preserve">As the court in </w:t>
      </w:r>
      <w:r w:rsidRPr="00782EE6">
        <w:rPr>
          <w:rFonts w:asciiTheme="minorHAnsi" w:hAnsiTheme="minorHAnsi" w:cstheme="minorHAnsi"/>
          <w:i/>
          <w:iCs/>
        </w:rPr>
        <w:t>Disability Rights South Carolina</w:t>
      </w:r>
      <w:r>
        <w:rPr>
          <w:rFonts w:asciiTheme="minorHAnsi" w:hAnsiTheme="minorHAnsi" w:cstheme="minorHAnsi"/>
        </w:rPr>
        <w:t xml:space="preserve"> found, “Years ago, ramps were added to schools to accommodate those with mobility-related disabilities so they could access a free public education.  Today, a mask mandate works as a sort of ramp to allow children with disabilities to access their schools.  Thus, the same legal authority requiring schools to have ramps requires that school districts have the option to compel people to wear masks at school.”</w:t>
      </w:r>
      <w:r>
        <w:rPr>
          <w:rStyle w:val="FootnoteReference"/>
          <w:rFonts w:asciiTheme="minorHAnsi" w:hAnsiTheme="minorHAnsi" w:cstheme="minorHAnsi"/>
        </w:rPr>
        <w:footnoteReference w:id="69"/>
      </w:r>
    </w:p>
    <w:p w14:paraId="57D05A55" w14:textId="4F96CBFF" w:rsidR="004130C6" w:rsidRPr="00B80A44" w:rsidRDefault="004130C6" w:rsidP="005C54C1">
      <w:pPr>
        <w:pStyle w:val="pleadingtls5"/>
        <w:rPr>
          <w:rFonts w:eastAsia="Times New Roman"/>
        </w:rPr>
      </w:pPr>
      <w:bookmarkStart w:id="156" w:name="_Toc83814472"/>
      <w:bookmarkStart w:id="157" w:name="_Toc83846188"/>
      <w:r w:rsidRPr="00B80A44">
        <w:rPr>
          <w:rFonts w:eastAsia="Times New Roman"/>
        </w:rPr>
        <w:t>Unequal access to in-person learning</w:t>
      </w:r>
      <w:bookmarkEnd w:id="156"/>
      <w:bookmarkEnd w:id="157"/>
    </w:p>
    <w:p w14:paraId="6F264232" w14:textId="77777777" w:rsidR="004130C6" w:rsidRPr="00DA5613" w:rsidRDefault="004130C6" w:rsidP="00545E56">
      <w:pPr>
        <w:widowControl w:val="0"/>
        <w:spacing w:line="480" w:lineRule="auto"/>
        <w:ind w:firstLine="720"/>
        <w:contextualSpacing/>
        <w:rPr>
          <w:rFonts w:asciiTheme="minorHAnsi" w:hAnsiTheme="minorHAnsi" w:cstheme="minorHAnsi"/>
        </w:rPr>
      </w:pPr>
      <w:r w:rsidRPr="00DA5613">
        <w:rPr>
          <w:rFonts w:asciiTheme="minorHAnsi" w:hAnsiTheme="minorHAnsi" w:cstheme="minorHAnsi"/>
        </w:rPr>
        <w:t>For E.S. and S.P., enforcement of GA-38 has denied or will deny them equal access to their education.</w:t>
      </w:r>
    </w:p>
    <w:p w14:paraId="29C677C5" w14:textId="4A8028AB" w:rsidR="004130C6" w:rsidRPr="00DA5613" w:rsidRDefault="004130C6" w:rsidP="00545E56">
      <w:pPr>
        <w:widowControl w:val="0"/>
        <w:numPr>
          <w:ilvl w:val="0"/>
          <w:numId w:val="19"/>
        </w:numPr>
        <w:spacing w:line="480" w:lineRule="auto"/>
        <w:contextualSpacing/>
        <w:rPr>
          <w:rFonts w:asciiTheme="minorHAnsi" w:hAnsiTheme="minorHAnsi" w:cstheme="minorHAnsi"/>
        </w:rPr>
      </w:pPr>
      <w:r w:rsidRPr="00DA5613">
        <w:rPr>
          <w:rFonts w:asciiTheme="minorHAnsi" w:hAnsiTheme="minorHAnsi" w:cstheme="minorHAnsi"/>
        </w:rPr>
        <w:t>E.S. attends in-person class in Killeen ISD.</w:t>
      </w:r>
      <w:r w:rsidRPr="00DA5613">
        <w:rPr>
          <w:rFonts w:asciiTheme="minorHAnsi" w:hAnsiTheme="minorHAnsi" w:cstheme="minorHAnsi"/>
          <w:vertAlign w:val="superscript"/>
        </w:rPr>
        <w:footnoteReference w:id="70"/>
      </w:r>
      <w:r w:rsidRPr="00DA5613">
        <w:rPr>
          <w:rFonts w:asciiTheme="minorHAnsi" w:hAnsiTheme="minorHAnsi" w:cstheme="minorHAnsi"/>
        </w:rPr>
        <w:t xml:space="preserve">  Killeen ISD initially had a mask mandate but is now in compliance with GA-38 according to Defendant Paxton’s compliance list.</w:t>
      </w:r>
      <w:r w:rsidRPr="00DA5613">
        <w:rPr>
          <w:rFonts w:asciiTheme="minorHAnsi" w:hAnsiTheme="minorHAnsi" w:cstheme="minorHAnsi"/>
          <w:vertAlign w:val="superscript"/>
        </w:rPr>
        <w:footnoteReference w:id="71"/>
      </w:r>
      <w:r w:rsidRPr="00DA5613">
        <w:rPr>
          <w:rFonts w:asciiTheme="minorHAnsi" w:hAnsiTheme="minorHAnsi" w:cstheme="minorHAnsi"/>
        </w:rPr>
        <w:t xml:space="preserve">  E.S.’s parents feel they have no option but to send E.S. </w:t>
      </w:r>
      <w:r w:rsidR="00545E56">
        <w:rPr>
          <w:rFonts w:asciiTheme="minorHAnsi" w:hAnsiTheme="minorHAnsi" w:cstheme="minorHAnsi"/>
        </w:rPr>
        <w:t>in person</w:t>
      </w:r>
      <w:r w:rsidRPr="00DA5613">
        <w:rPr>
          <w:rFonts w:asciiTheme="minorHAnsi" w:hAnsiTheme="minorHAnsi" w:cstheme="minorHAnsi"/>
        </w:rPr>
        <w:t>—she did not make adequate progress last year when attending virtually.</w:t>
      </w:r>
      <w:r w:rsidRPr="00DA5613">
        <w:rPr>
          <w:rFonts w:asciiTheme="minorHAnsi" w:hAnsiTheme="minorHAnsi" w:cstheme="minorHAnsi"/>
          <w:vertAlign w:val="superscript"/>
        </w:rPr>
        <w:footnoteReference w:id="72"/>
      </w:r>
      <w:r w:rsidRPr="00DA5613">
        <w:rPr>
          <w:rFonts w:asciiTheme="minorHAnsi" w:hAnsiTheme="minorHAnsi" w:cstheme="minorHAnsi"/>
        </w:rPr>
        <w:t xml:space="preserve">  </w:t>
      </w:r>
    </w:p>
    <w:p w14:paraId="3DED80EE" w14:textId="77777777" w:rsidR="004130C6" w:rsidRPr="00DA5613" w:rsidRDefault="004130C6" w:rsidP="00545E56">
      <w:pPr>
        <w:widowControl w:val="0"/>
        <w:numPr>
          <w:ilvl w:val="0"/>
          <w:numId w:val="19"/>
        </w:numPr>
        <w:spacing w:line="480" w:lineRule="auto"/>
        <w:contextualSpacing/>
        <w:rPr>
          <w:rFonts w:asciiTheme="minorHAnsi" w:hAnsiTheme="minorHAnsi" w:cstheme="minorHAnsi"/>
        </w:rPr>
      </w:pPr>
      <w:r w:rsidRPr="00DA5613">
        <w:rPr>
          <w:rFonts w:asciiTheme="minorHAnsi" w:hAnsiTheme="minorHAnsi" w:cstheme="minorHAnsi"/>
        </w:rPr>
        <w:t>S.P. attends in-person class in Richardson ISD.</w:t>
      </w:r>
      <w:r w:rsidRPr="00DA5613">
        <w:rPr>
          <w:rFonts w:asciiTheme="minorHAnsi" w:hAnsiTheme="minorHAnsi" w:cstheme="minorHAnsi"/>
          <w:vertAlign w:val="superscript"/>
        </w:rPr>
        <w:footnoteReference w:id="73"/>
      </w:r>
      <w:r w:rsidRPr="00DA5613">
        <w:rPr>
          <w:rFonts w:asciiTheme="minorHAnsi" w:hAnsiTheme="minorHAnsi" w:cstheme="minorHAnsi"/>
        </w:rPr>
        <w:t xml:space="preserve">  Richardson ISD has a mask mandate, but has been sued by Defendant Paxton.</w:t>
      </w:r>
      <w:r w:rsidRPr="00DA5613">
        <w:rPr>
          <w:rFonts w:asciiTheme="minorHAnsi" w:hAnsiTheme="minorHAnsi" w:cstheme="minorHAnsi"/>
          <w:vertAlign w:val="superscript"/>
        </w:rPr>
        <w:footnoteReference w:id="74"/>
      </w:r>
      <w:r w:rsidRPr="00DA5613">
        <w:rPr>
          <w:rFonts w:asciiTheme="minorHAnsi" w:hAnsiTheme="minorHAnsi" w:cstheme="minorHAnsi"/>
        </w:rPr>
        <w:t xml:space="preserve">  S.P.’s parents feel they will have no option but to continue sending S.P. in person even if Richardson ISD is no longer able to require masks—he did not make adequate progress last year attending school virtually.</w:t>
      </w:r>
      <w:r w:rsidRPr="00DA5613">
        <w:rPr>
          <w:rFonts w:asciiTheme="minorHAnsi" w:hAnsiTheme="minorHAnsi" w:cstheme="minorHAnsi"/>
          <w:vertAlign w:val="superscript"/>
        </w:rPr>
        <w:footnoteReference w:id="75"/>
      </w:r>
      <w:r w:rsidRPr="00DA5613">
        <w:rPr>
          <w:rFonts w:asciiTheme="minorHAnsi" w:hAnsiTheme="minorHAnsi" w:cstheme="minorHAnsi"/>
        </w:rPr>
        <w:t xml:space="preserve">  He is now behind in both math and reading, and has also regressed behaviorally.  He suffers from chronic anxiety about the possibility of contracting COVID-19.</w:t>
      </w:r>
      <w:r w:rsidRPr="00DA5613">
        <w:rPr>
          <w:rFonts w:asciiTheme="minorHAnsi" w:hAnsiTheme="minorHAnsi" w:cstheme="minorHAnsi"/>
          <w:vertAlign w:val="superscript"/>
        </w:rPr>
        <w:footnoteReference w:id="76"/>
      </w:r>
    </w:p>
    <w:p w14:paraId="5B78056C" w14:textId="55DE9305" w:rsidR="004130C6" w:rsidRPr="00DA5613" w:rsidRDefault="004130C6" w:rsidP="00545E56">
      <w:pPr>
        <w:widowControl w:val="0"/>
        <w:spacing w:line="480" w:lineRule="auto"/>
        <w:ind w:firstLine="720"/>
        <w:contextualSpacing/>
        <w:rPr>
          <w:rFonts w:asciiTheme="minorHAnsi" w:hAnsiTheme="minorHAnsi" w:cstheme="minorHAnsi"/>
        </w:rPr>
      </w:pPr>
      <w:r w:rsidRPr="00DA5613">
        <w:rPr>
          <w:rFonts w:asciiTheme="minorHAnsi" w:hAnsiTheme="minorHAnsi" w:cstheme="minorHAnsi"/>
        </w:rPr>
        <w:t xml:space="preserve">For E.S. and S.P., the ban on mask policies has denied or will deny them meaningful access to their school buildings and in-person education, </w:t>
      </w:r>
      <w:r w:rsidRPr="00DA5613">
        <w:rPr>
          <w:rFonts w:asciiTheme="minorHAnsi" w:hAnsiTheme="minorHAnsi" w:cstheme="minorHAnsi"/>
          <w:i/>
        </w:rPr>
        <w:t>i.e.</w:t>
      </w:r>
      <w:r w:rsidRPr="00DA5613">
        <w:rPr>
          <w:rFonts w:asciiTheme="minorHAnsi" w:hAnsiTheme="minorHAnsi" w:cstheme="minorHAnsi"/>
        </w:rPr>
        <w:t>, an “equal opportunity to … gain the same benefit.”</w:t>
      </w:r>
      <w:r w:rsidRPr="00DA5613">
        <w:rPr>
          <w:rFonts w:asciiTheme="minorHAnsi" w:hAnsiTheme="minorHAnsi" w:cstheme="minorHAnsi"/>
          <w:vertAlign w:val="superscript"/>
        </w:rPr>
        <w:footnoteReference w:id="77"/>
      </w:r>
      <w:r w:rsidRPr="00DA5613">
        <w:rPr>
          <w:rFonts w:asciiTheme="minorHAnsi" w:hAnsiTheme="minorHAnsi" w:cstheme="minorHAnsi"/>
        </w:rPr>
        <w:t xml:space="preserve">  Attending school at significant risk of severe illness is not the same opportunity that is being provided to other children.  As found by the court in </w:t>
      </w:r>
      <w:r w:rsidRPr="00DA5613">
        <w:rPr>
          <w:rFonts w:asciiTheme="minorHAnsi" w:hAnsiTheme="minorHAnsi" w:cstheme="minorHAnsi"/>
          <w:i/>
          <w:iCs/>
        </w:rPr>
        <w:t>Arc of Iowa</w:t>
      </w:r>
      <w:r w:rsidRPr="00DA5613">
        <w:rPr>
          <w:rFonts w:asciiTheme="minorHAnsi" w:hAnsiTheme="minorHAnsi" w:cstheme="minorHAnsi"/>
        </w:rPr>
        <w:t>, “Plaintiffs have demonstrated that school programs, services, and activities are not ‘readily accessible’ to the disabled minor children involved here because these children cannot attend in-person learning at their schools without the very real threat to their lives because of their medical vulnerabilities.”</w:t>
      </w:r>
      <w:r w:rsidRPr="00DA5613">
        <w:rPr>
          <w:rFonts w:asciiTheme="minorHAnsi" w:hAnsiTheme="minorHAnsi" w:cstheme="minorHAnsi"/>
          <w:vertAlign w:val="superscript"/>
        </w:rPr>
        <w:footnoteReference w:id="78"/>
      </w:r>
      <w:r w:rsidRPr="00DA5613">
        <w:rPr>
          <w:rFonts w:asciiTheme="minorHAnsi" w:hAnsiTheme="minorHAnsi" w:cstheme="minorHAnsi"/>
        </w:rPr>
        <w:t xml:space="preserve">  </w:t>
      </w:r>
      <w:r w:rsidR="00782EE6" w:rsidRPr="00782EE6">
        <w:rPr>
          <w:rFonts w:asciiTheme="minorHAnsi" w:hAnsiTheme="minorHAnsi" w:cstheme="minorHAnsi"/>
        </w:rPr>
        <w:t xml:space="preserve">Similarly, the court in </w:t>
      </w:r>
      <w:r w:rsidR="00782EE6" w:rsidRPr="00782EE6">
        <w:rPr>
          <w:rFonts w:asciiTheme="minorHAnsi" w:hAnsiTheme="minorHAnsi" w:cstheme="minorHAnsi"/>
          <w:i/>
          <w:iCs/>
        </w:rPr>
        <w:t>R.K.</w:t>
      </w:r>
      <w:r w:rsidR="00782EE6" w:rsidRPr="00782EE6">
        <w:rPr>
          <w:rFonts w:asciiTheme="minorHAnsi" w:hAnsiTheme="minorHAnsi" w:cstheme="minorHAnsi"/>
        </w:rPr>
        <w:t xml:space="preserve"> found that the plaintiffs “are entitled to the anti-discrimination protections in the ADA and Section 504” because they were forced “to face a prevalent threat of infection every time the access public educational programs and services” which meant the programs were not readily accessible to those with disabilities.</w:t>
      </w:r>
      <w:r w:rsidR="00782EE6" w:rsidRPr="00782EE6">
        <w:rPr>
          <w:rStyle w:val="FootnoteReference"/>
          <w:rFonts w:asciiTheme="minorHAnsi" w:hAnsiTheme="minorHAnsi" w:cstheme="minorHAnsi"/>
        </w:rPr>
        <w:footnoteReference w:id="79"/>
      </w:r>
    </w:p>
    <w:p w14:paraId="2674EDB5" w14:textId="2ACB068F" w:rsidR="004130C6" w:rsidRPr="00DA5613" w:rsidRDefault="004130C6" w:rsidP="00545E56">
      <w:pPr>
        <w:widowControl w:val="0"/>
        <w:spacing w:line="480" w:lineRule="auto"/>
        <w:ind w:firstLine="720"/>
        <w:contextualSpacing/>
        <w:rPr>
          <w:rFonts w:asciiTheme="minorHAnsi" w:hAnsiTheme="minorHAnsi" w:cstheme="minorHAnsi"/>
        </w:rPr>
      </w:pPr>
      <w:r w:rsidRPr="00DA5613">
        <w:rPr>
          <w:rFonts w:asciiTheme="minorHAnsi" w:hAnsiTheme="minorHAnsi" w:cstheme="minorHAnsi"/>
        </w:rPr>
        <w:t xml:space="preserve">The court in </w:t>
      </w:r>
      <w:r w:rsidRPr="00DA5613">
        <w:rPr>
          <w:rFonts w:asciiTheme="minorHAnsi" w:hAnsiTheme="minorHAnsi" w:cstheme="minorHAnsi"/>
          <w:i/>
        </w:rPr>
        <w:t>S.B</w:t>
      </w:r>
      <w:r w:rsidRPr="00DA5613">
        <w:rPr>
          <w:rFonts w:asciiTheme="minorHAnsi" w:hAnsiTheme="minorHAnsi" w:cstheme="minorHAnsi"/>
        </w:rPr>
        <w:t xml:space="preserve">. reached a similar conclusion, relying on the Supreme Court decision in </w:t>
      </w:r>
      <w:r w:rsidRPr="00DA5613">
        <w:rPr>
          <w:rFonts w:asciiTheme="minorHAnsi" w:hAnsiTheme="minorHAnsi" w:cstheme="minorHAnsi"/>
          <w:i/>
        </w:rPr>
        <w:t>Helling v. McKinney</w:t>
      </w:r>
      <w:r w:rsidRPr="00DA5613">
        <w:rPr>
          <w:rFonts w:asciiTheme="minorHAnsi" w:hAnsiTheme="minorHAnsi" w:cstheme="minorHAnsi"/>
        </w:rPr>
        <w:t>.</w:t>
      </w:r>
      <w:r w:rsidRPr="00DA5613">
        <w:rPr>
          <w:rFonts w:asciiTheme="minorHAnsi" w:hAnsiTheme="minorHAnsi" w:cstheme="minorHAnsi"/>
          <w:vertAlign w:val="superscript"/>
        </w:rPr>
        <w:footnoteReference w:id="80"/>
      </w:r>
      <w:r w:rsidRPr="00DA5613">
        <w:rPr>
          <w:rFonts w:asciiTheme="minorHAnsi" w:hAnsiTheme="minorHAnsi" w:cstheme="minorHAnsi"/>
        </w:rPr>
        <w:t xml:space="preserve">  In </w:t>
      </w:r>
      <w:r w:rsidRPr="00DA5613">
        <w:rPr>
          <w:rFonts w:asciiTheme="minorHAnsi" w:hAnsiTheme="minorHAnsi" w:cstheme="minorHAnsi"/>
          <w:i/>
        </w:rPr>
        <w:t>Helling</w:t>
      </w:r>
      <w:r w:rsidRPr="00DA5613">
        <w:rPr>
          <w:rFonts w:asciiTheme="minorHAnsi" w:hAnsiTheme="minorHAnsi" w:cstheme="minorHAnsi"/>
        </w:rPr>
        <w:t>, a state inmate sued the prison officials under 42 U.S.C. § 1983 alleging that his constitutional rights had been violated because he has significant health conditions but was placed in a cell with a fellow inmate who smoke</w:t>
      </w:r>
      <w:r w:rsidR="000F412D">
        <w:rPr>
          <w:rFonts w:asciiTheme="minorHAnsi" w:hAnsiTheme="minorHAnsi" w:cstheme="minorHAnsi"/>
        </w:rPr>
        <w:t>d</w:t>
      </w:r>
      <w:r w:rsidRPr="00DA5613">
        <w:rPr>
          <w:rFonts w:asciiTheme="minorHAnsi" w:hAnsiTheme="minorHAnsi" w:cstheme="minorHAnsi"/>
        </w:rPr>
        <w:t xml:space="preserve"> five packs of cigarettes a day.</w:t>
      </w:r>
      <w:r w:rsidRPr="00DA5613">
        <w:rPr>
          <w:rFonts w:asciiTheme="minorHAnsi" w:hAnsiTheme="minorHAnsi" w:cstheme="minorHAnsi"/>
          <w:vertAlign w:val="superscript"/>
        </w:rPr>
        <w:footnoteReference w:id="81"/>
      </w:r>
      <w:r w:rsidRPr="00DA5613">
        <w:rPr>
          <w:rFonts w:asciiTheme="minorHAnsi" w:hAnsiTheme="minorHAnsi" w:cstheme="minorHAnsi"/>
        </w:rPr>
        <w:t xml:space="preserve">  The Supreme Court held that the plaintiff had stated a sufficient claim based on his involuntary exposure to tobacco smoke which posed an unreasonable risk to his health and future health.</w:t>
      </w:r>
      <w:r w:rsidRPr="00DA5613">
        <w:rPr>
          <w:rFonts w:asciiTheme="minorHAnsi" w:hAnsiTheme="minorHAnsi" w:cstheme="minorHAnsi"/>
          <w:vertAlign w:val="superscript"/>
        </w:rPr>
        <w:footnoteReference w:id="82"/>
      </w:r>
      <w:r w:rsidRPr="00DA5613">
        <w:rPr>
          <w:rFonts w:asciiTheme="minorHAnsi" w:hAnsiTheme="minorHAnsi" w:cstheme="minorHAnsi"/>
        </w:rPr>
        <w:t xml:space="preserve">  The court in </w:t>
      </w:r>
      <w:r w:rsidRPr="00DA5613">
        <w:rPr>
          <w:rFonts w:asciiTheme="minorHAnsi" w:hAnsiTheme="minorHAnsi" w:cstheme="minorHAnsi"/>
          <w:i/>
        </w:rPr>
        <w:t>S.B</w:t>
      </w:r>
      <w:r w:rsidRPr="00DA5613">
        <w:rPr>
          <w:rFonts w:asciiTheme="minorHAnsi" w:hAnsiTheme="minorHAnsi" w:cstheme="minorHAnsi"/>
        </w:rPr>
        <w:t xml:space="preserve">. acknowledged the differences </w:t>
      </w:r>
      <w:r w:rsidR="000F412D">
        <w:rPr>
          <w:rFonts w:asciiTheme="minorHAnsi" w:hAnsiTheme="minorHAnsi" w:cstheme="minorHAnsi"/>
        </w:rPr>
        <w:t>between</w:t>
      </w:r>
      <w:r w:rsidR="000F412D" w:rsidRPr="00DA5613">
        <w:rPr>
          <w:rFonts w:asciiTheme="minorHAnsi" w:hAnsiTheme="minorHAnsi" w:cstheme="minorHAnsi"/>
        </w:rPr>
        <w:t xml:space="preserve"> </w:t>
      </w:r>
      <w:r w:rsidRPr="00DA5613">
        <w:rPr>
          <w:rFonts w:asciiTheme="minorHAnsi" w:hAnsiTheme="minorHAnsi" w:cstheme="minorHAnsi"/>
          <w:i/>
        </w:rPr>
        <w:t>Helling</w:t>
      </w:r>
      <w:r w:rsidRPr="00DA5613">
        <w:rPr>
          <w:rFonts w:asciiTheme="minorHAnsi" w:hAnsiTheme="minorHAnsi" w:cstheme="minorHAnsi"/>
        </w:rPr>
        <w:t xml:space="preserve"> </w:t>
      </w:r>
      <w:r w:rsidR="000F412D">
        <w:rPr>
          <w:rFonts w:asciiTheme="minorHAnsi" w:hAnsiTheme="minorHAnsi" w:cstheme="minorHAnsi"/>
        </w:rPr>
        <w:t xml:space="preserve">and </w:t>
      </w:r>
      <w:r w:rsidRPr="00DA5613">
        <w:rPr>
          <w:rFonts w:asciiTheme="minorHAnsi" w:hAnsiTheme="minorHAnsi" w:cstheme="minorHAnsi"/>
        </w:rPr>
        <w:t>the challenges to the state limitations on mask mandates, but found the underlying holding—that prison officials cannot ignore a condition of confinement that is likely to cause serious illness in the future—applies when evaluating the harm to the children with disabilities.</w:t>
      </w:r>
      <w:r w:rsidRPr="00DA5613">
        <w:rPr>
          <w:rFonts w:asciiTheme="minorHAnsi" w:hAnsiTheme="minorHAnsi" w:cstheme="minorHAnsi"/>
          <w:vertAlign w:val="superscript"/>
        </w:rPr>
        <w:footnoteReference w:id="83"/>
      </w:r>
      <w:r w:rsidRPr="00DA5613">
        <w:rPr>
          <w:rFonts w:asciiTheme="minorHAnsi" w:hAnsiTheme="minorHAnsi" w:cstheme="minorHAnsi"/>
        </w:rPr>
        <w:t xml:space="preserve">  Similarly, courts have recognized that accommodations in other contexts can be required to address a risk of injury or health consequence under Title I of the ADA.  </w:t>
      </w:r>
      <w:r w:rsidRPr="00DA5613">
        <w:rPr>
          <w:rFonts w:asciiTheme="minorHAnsi" w:hAnsiTheme="minorHAnsi" w:cstheme="minorHAnsi"/>
          <w:i/>
        </w:rPr>
        <w:t>See</w:t>
      </w:r>
      <w:r w:rsidRPr="00DA5613">
        <w:rPr>
          <w:rFonts w:asciiTheme="minorHAnsi" w:hAnsiTheme="minorHAnsi" w:cstheme="minorHAnsi"/>
        </w:rPr>
        <w:t xml:space="preserve"> </w:t>
      </w:r>
      <w:r w:rsidRPr="00DA5613">
        <w:rPr>
          <w:rFonts w:asciiTheme="minorHAnsi" w:hAnsiTheme="minorHAnsi" w:cstheme="minorHAnsi"/>
          <w:i/>
          <w:iCs/>
        </w:rPr>
        <w:t>Burnett v. Ocean Properties, Ltd.</w:t>
      </w:r>
      <w:r w:rsidRPr="00DA5613">
        <w:rPr>
          <w:rFonts w:asciiTheme="minorHAnsi" w:hAnsiTheme="minorHAnsi" w:cstheme="minorHAnsi"/>
        </w:rPr>
        <w:t xml:space="preserve">, 987 F.3d 57, 68–69 (1st Cir. 2021) (finding plaintiff needed an accommodation because although he was able to physically perform his job, he did so at risk of injury); </w:t>
      </w:r>
      <w:r w:rsidRPr="00DA5613">
        <w:rPr>
          <w:rFonts w:asciiTheme="minorHAnsi" w:hAnsiTheme="minorHAnsi" w:cstheme="minorHAnsi"/>
          <w:i/>
          <w:iCs/>
        </w:rPr>
        <w:t>Gleed v. AT &amp; T Mobility Services, LLC</w:t>
      </w:r>
      <w:r w:rsidRPr="00DA5613">
        <w:rPr>
          <w:rFonts w:asciiTheme="minorHAnsi" w:hAnsiTheme="minorHAnsi" w:cstheme="minorHAnsi"/>
        </w:rPr>
        <w:t xml:space="preserve">, 613 F. App’x 535, 539 (6th Cir. 2015) (reasonable accommodation needed to work “without great pain and a heightened risk of infection”); </w:t>
      </w:r>
      <w:r w:rsidRPr="00DA5613">
        <w:rPr>
          <w:rFonts w:asciiTheme="minorHAnsi" w:hAnsiTheme="minorHAnsi" w:cstheme="minorHAnsi"/>
          <w:i/>
          <w:iCs/>
        </w:rPr>
        <w:t>Kleyman v. SUNY Downstate Med. Ctr.</w:t>
      </w:r>
      <w:r w:rsidRPr="00DA5613">
        <w:rPr>
          <w:rFonts w:asciiTheme="minorHAnsi" w:hAnsiTheme="minorHAnsi" w:cstheme="minorHAnsi"/>
        </w:rPr>
        <w:t xml:space="preserve">, No. 18CV3137PKCST, 2020 WL 5645218, at *10 (E.D.N.Y. Sept. 21, 2020) (finding there was dispute whether plaintiff could perform her job without accommodation only by “seriously endangering her health”); </w:t>
      </w:r>
      <w:r w:rsidRPr="00DA5613">
        <w:rPr>
          <w:rFonts w:asciiTheme="minorHAnsi" w:hAnsiTheme="minorHAnsi" w:cstheme="minorHAnsi"/>
          <w:i/>
          <w:iCs/>
        </w:rPr>
        <w:t>U.S. E.E.O.C. v. AutoZone, Inc</w:t>
      </w:r>
      <w:r w:rsidRPr="00DA5613">
        <w:rPr>
          <w:rFonts w:asciiTheme="minorHAnsi" w:hAnsiTheme="minorHAnsi" w:cstheme="minorHAnsi"/>
        </w:rPr>
        <w:t xml:space="preserve">., 822 F. Supp. 2d 824, 830 (C.D. Ill. 2011), </w:t>
      </w:r>
      <w:r w:rsidRPr="00DA5613">
        <w:rPr>
          <w:rFonts w:asciiTheme="minorHAnsi" w:hAnsiTheme="minorHAnsi" w:cstheme="minorHAnsi"/>
          <w:i/>
          <w:iCs/>
        </w:rPr>
        <w:t>aff’d in relevant part sub nom. E.E.O.C. v. AutoZone, Inc</w:t>
      </w:r>
      <w:r w:rsidRPr="00DA5613">
        <w:rPr>
          <w:rFonts w:asciiTheme="minorHAnsi" w:hAnsiTheme="minorHAnsi" w:cstheme="minorHAnsi"/>
        </w:rPr>
        <w:t xml:space="preserve">., 707 F.3d 824 (7th Cir. 2013) (reasonable accommodation of avoiding task causing injury); </w:t>
      </w:r>
      <w:r w:rsidRPr="00DA5613">
        <w:rPr>
          <w:rFonts w:asciiTheme="minorHAnsi" w:hAnsiTheme="minorHAnsi" w:cstheme="minorHAnsi"/>
          <w:i/>
          <w:iCs/>
        </w:rPr>
        <w:t>Sturz v. Wisconsin Dept. of Corrections</w:t>
      </w:r>
      <w:r w:rsidRPr="00DA5613">
        <w:rPr>
          <w:rFonts w:asciiTheme="minorHAnsi" w:hAnsiTheme="minorHAnsi" w:cstheme="minorHAnsi"/>
        </w:rPr>
        <w:t xml:space="preserve">, 642 F. Supp. 2d 881, 888 (W.D. Wis. 2009) (“[D]efendant’s argument suggests a disturbing standard for determining whether an accommodation is reasonable. It may be that plaintiff could open the front door with great difficulty or make her way through the parking lot without falling each time, but should she have to?”); </w:t>
      </w:r>
      <w:r w:rsidRPr="00DA5613">
        <w:rPr>
          <w:rFonts w:asciiTheme="minorHAnsi" w:hAnsiTheme="minorHAnsi" w:cstheme="minorHAnsi"/>
          <w:i/>
          <w:iCs/>
        </w:rPr>
        <w:t>Nawrot v. CPC Int’l</w:t>
      </w:r>
      <w:r w:rsidRPr="00DA5613">
        <w:rPr>
          <w:rFonts w:asciiTheme="minorHAnsi" w:hAnsiTheme="minorHAnsi" w:cstheme="minorHAnsi"/>
        </w:rPr>
        <w:t>, 259 F. Supp. 2d 716, 726 (N.D. Ill. 2003) (“To hold that a person with potentially life threatening diabetes is not entitled to accommodations . . . would force diabetics like Nawrot to choose between working while risking physical harm and death, or unemployment. The ADA was created to prohibit placing disabled persons in this position.”).</w:t>
      </w:r>
    </w:p>
    <w:p w14:paraId="6ECFFAB0" w14:textId="671CDEC2" w:rsidR="004130C6" w:rsidRPr="00B80A44" w:rsidRDefault="004130C6" w:rsidP="005C54C1">
      <w:pPr>
        <w:pStyle w:val="pleadingtls5"/>
        <w:rPr>
          <w:rFonts w:eastAsia="Times New Roman"/>
        </w:rPr>
      </w:pPr>
      <w:bookmarkStart w:id="159" w:name="_Toc83814473"/>
      <w:bookmarkStart w:id="160" w:name="_Toc83846189"/>
      <w:r w:rsidRPr="00B80A44">
        <w:rPr>
          <w:rFonts w:eastAsia="Times New Roman"/>
        </w:rPr>
        <w:t>Failure to Provide Reasonable Modification</w:t>
      </w:r>
      <w:bookmarkEnd w:id="159"/>
      <w:bookmarkEnd w:id="160"/>
    </w:p>
    <w:p w14:paraId="3BD12C25" w14:textId="77777777" w:rsidR="004130C6" w:rsidRPr="00DA5613" w:rsidRDefault="004130C6" w:rsidP="00545E56">
      <w:pPr>
        <w:widowControl w:val="0"/>
        <w:spacing w:line="480" w:lineRule="auto"/>
        <w:ind w:firstLine="720"/>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Both the ADA and Section 504 require covered entities to provide reasonable accommodations or modifications to individuals with disabilities.</w:t>
      </w:r>
      <w:r w:rsidRPr="00DA5613">
        <w:rPr>
          <w:rFonts w:asciiTheme="minorHAnsi" w:eastAsia="Times New Roman" w:hAnsiTheme="minorHAnsi" w:cstheme="minorHAnsi"/>
          <w:color w:val="auto"/>
          <w:vertAlign w:val="superscript"/>
        </w:rPr>
        <w:footnoteReference w:id="84"/>
      </w:r>
      <w:r w:rsidRPr="00DA5613">
        <w:rPr>
          <w:rFonts w:asciiTheme="minorHAnsi" w:eastAsia="Times New Roman" w:hAnsiTheme="minorHAnsi" w:cstheme="minorHAnsi"/>
          <w:color w:val="auto"/>
        </w:rPr>
        <w:t xml:space="preserve">  Under Section 504, a reasonable accommodation may be required to ensure meaningful access to a benefit.</w:t>
      </w:r>
      <w:r w:rsidRPr="00DA5613">
        <w:rPr>
          <w:rFonts w:asciiTheme="minorHAnsi" w:eastAsia="Times New Roman" w:hAnsiTheme="minorHAnsi" w:cstheme="minorHAnsi"/>
          <w:color w:val="auto"/>
          <w:vertAlign w:val="superscript"/>
        </w:rPr>
        <w:footnoteReference w:id="85"/>
      </w:r>
      <w:r w:rsidRPr="00DA5613">
        <w:rPr>
          <w:rFonts w:asciiTheme="minorHAnsi" w:eastAsia="Times New Roman" w:hAnsiTheme="minorHAnsi" w:cstheme="minorHAnsi"/>
          <w:color w:val="auto"/>
        </w:rPr>
        <w:t xml:space="preserve">  Under the ADA, reasonable modifications are required when necessary to avoid discrimination on the basis of a disability.</w:t>
      </w:r>
      <w:r w:rsidRPr="00DA5613">
        <w:rPr>
          <w:rFonts w:asciiTheme="minorHAnsi" w:eastAsia="Times New Roman" w:hAnsiTheme="minorHAnsi" w:cstheme="minorHAnsi"/>
          <w:color w:val="auto"/>
          <w:vertAlign w:val="superscript"/>
        </w:rPr>
        <w:footnoteReference w:id="86"/>
      </w:r>
      <w:r w:rsidRPr="00DA5613">
        <w:rPr>
          <w:rFonts w:asciiTheme="minorHAnsi" w:eastAsia="Times New Roman" w:hAnsiTheme="minorHAnsi" w:cstheme="minorHAnsi"/>
          <w:color w:val="auto"/>
        </w:rPr>
        <w:t xml:space="preserve">  This determination is a fact-specific inquiry requiring individualized consideration, but the Defendants are attempting to prevent compliance with the law.</w:t>
      </w:r>
      <w:r w:rsidRPr="00DA5613">
        <w:rPr>
          <w:rFonts w:asciiTheme="minorHAnsi" w:eastAsia="Times New Roman" w:hAnsiTheme="minorHAnsi" w:cstheme="minorHAnsi"/>
          <w:color w:val="auto"/>
          <w:vertAlign w:val="superscript"/>
        </w:rPr>
        <w:footnoteReference w:id="87"/>
      </w:r>
      <w:r w:rsidRPr="00DA5613">
        <w:rPr>
          <w:rFonts w:asciiTheme="minorHAnsi" w:eastAsia="Times New Roman" w:hAnsiTheme="minorHAnsi" w:cstheme="minorHAnsi"/>
          <w:color w:val="auto"/>
        </w:rPr>
        <w:t xml:space="preserve">    </w:t>
      </w:r>
    </w:p>
    <w:p w14:paraId="62976B2B" w14:textId="49C76FB8" w:rsidR="004130C6" w:rsidRPr="00DA5613" w:rsidRDefault="004130C6" w:rsidP="00545E56">
      <w:pPr>
        <w:widowControl w:val="0"/>
        <w:spacing w:line="480" w:lineRule="auto"/>
        <w:ind w:firstLine="720"/>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 xml:space="preserve">As the experts’ declarations demonstrate, for children under the age of 12, the best accommodation to protect those who are at risk of significant illness from COVID-19 is the use of masks, and the ability to require masks is necessary for the protection of children like the plaintiffs.  </w:t>
      </w:r>
      <w:r w:rsidRPr="00DA5613">
        <w:rPr>
          <w:rFonts w:asciiTheme="minorHAnsi" w:eastAsia="Times New Roman" w:hAnsiTheme="minorHAnsi" w:cstheme="minorHAnsi"/>
          <w:color w:val="auto"/>
        </w:rPr>
        <w:br/>
      </w:r>
      <w:r w:rsidR="00453FDD">
        <w:rPr>
          <w:rFonts w:asciiTheme="minorHAnsi" w:eastAsia="Times New Roman" w:hAnsiTheme="minorHAnsi" w:cstheme="minorHAnsi"/>
          <w:color w:val="auto"/>
        </w:rPr>
        <w:tab/>
      </w:r>
      <w:r w:rsidRPr="00DA5613">
        <w:rPr>
          <w:rFonts w:asciiTheme="minorHAnsi" w:eastAsia="Times New Roman" w:hAnsiTheme="minorHAnsi" w:cstheme="minorHAnsi"/>
          <w:color w:val="auto"/>
        </w:rPr>
        <w:t>Dr. Greenberg stated, “I believe that mask requirements in schools are necessary to protect children like the Plaintiffs from the virus.”</w:t>
      </w:r>
      <w:r w:rsidRPr="00DA5613">
        <w:rPr>
          <w:rFonts w:asciiTheme="minorHAnsi" w:eastAsia="Times New Roman" w:hAnsiTheme="minorHAnsi" w:cstheme="minorHAnsi"/>
          <w:color w:val="auto"/>
          <w:vertAlign w:val="superscript"/>
        </w:rPr>
        <w:footnoteReference w:id="88"/>
      </w:r>
      <w:r w:rsidRPr="00DA5613">
        <w:rPr>
          <w:rFonts w:asciiTheme="minorHAnsi" w:eastAsia="Times New Roman" w:hAnsiTheme="minorHAnsi" w:cstheme="minorHAnsi"/>
          <w:color w:val="auto"/>
        </w:rPr>
        <w:t xml:space="preserve">  The need for masking has been recognized by national health authorities, including the CDC, as well as by local health authorities and school officials weighing the specific needs of their local communities.  As the court in </w:t>
      </w:r>
      <w:r w:rsidRPr="00DA5613">
        <w:rPr>
          <w:rFonts w:asciiTheme="minorHAnsi" w:eastAsia="Times New Roman" w:hAnsiTheme="minorHAnsi" w:cstheme="minorHAnsi"/>
          <w:i/>
          <w:color w:val="auto"/>
        </w:rPr>
        <w:t>S.B</w:t>
      </w:r>
      <w:r w:rsidRPr="00DA5613">
        <w:rPr>
          <w:rFonts w:asciiTheme="minorHAnsi" w:eastAsia="Times New Roman" w:hAnsiTheme="minorHAnsi" w:cstheme="minorHAnsi"/>
          <w:color w:val="auto"/>
        </w:rPr>
        <w:t>. found, mask-wearing is “</w:t>
      </w:r>
      <w:r w:rsidRPr="00DA5613">
        <w:rPr>
          <w:rFonts w:asciiTheme="minorHAnsi" w:eastAsia="Times New Roman" w:hAnsiTheme="minorHAnsi" w:cstheme="minorHAnsi"/>
          <w:i/>
          <w:color w:val="auto"/>
        </w:rPr>
        <w:t>the</w:t>
      </w:r>
      <w:r w:rsidRPr="00DA5613">
        <w:rPr>
          <w:rFonts w:asciiTheme="minorHAnsi" w:eastAsia="Times New Roman" w:hAnsiTheme="minorHAnsi" w:cstheme="minorHAnsi"/>
          <w:color w:val="auto"/>
        </w:rPr>
        <w:t xml:space="preserve"> most important of the CDC’s guidelines …”</w:t>
      </w:r>
      <w:r w:rsidRPr="00DA5613">
        <w:rPr>
          <w:rFonts w:asciiTheme="minorHAnsi" w:eastAsia="Times New Roman" w:hAnsiTheme="minorHAnsi" w:cstheme="minorHAnsi"/>
          <w:color w:val="auto"/>
          <w:vertAlign w:val="superscript"/>
        </w:rPr>
        <w:footnoteReference w:id="89"/>
      </w:r>
      <w:r w:rsidRPr="00DA5613">
        <w:rPr>
          <w:rFonts w:asciiTheme="minorHAnsi" w:eastAsia="Times New Roman" w:hAnsiTheme="minorHAnsi" w:cstheme="minorHAnsi"/>
          <w:color w:val="auto"/>
        </w:rPr>
        <w:t xml:space="preserve">  Local school districts, which have implemented mask policies since the start of the pandemic, are the proper decision-makers as to what accommodations are needed to address Plaintiffs’ individual needs.  For some, this may be targeted use of masking, such as an individual classroom or campus; other districts may need to implement universal masking.  Defendants have thwarted the ability of school districts to adopt this effective and simple accommodation, preventing school districts from meeting their obligations under federal law.   </w:t>
      </w:r>
    </w:p>
    <w:p w14:paraId="65F747C1" w14:textId="5C3CCB8F" w:rsidR="004130C6" w:rsidRPr="00DA5613" w:rsidRDefault="004130C6" w:rsidP="00545E56">
      <w:pPr>
        <w:widowControl w:val="0"/>
        <w:spacing w:line="480" w:lineRule="auto"/>
        <w:ind w:firstLine="720"/>
        <w:textAlignment w:val="baseline"/>
        <w:rPr>
          <w:rFonts w:asciiTheme="minorHAnsi" w:hAnsiTheme="minorHAnsi" w:cstheme="minorHAnsi"/>
        </w:rPr>
      </w:pPr>
      <w:r w:rsidRPr="00DA5613">
        <w:rPr>
          <w:rFonts w:asciiTheme="minorHAnsi" w:eastAsia="Times New Roman" w:hAnsiTheme="minorHAnsi" w:cstheme="minorHAnsi"/>
          <w:color w:val="auto"/>
        </w:rPr>
        <w:t>Plaintiffs do not seek an order compelling universal, district-wide masking. Instead</w:t>
      </w:r>
      <w:r w:rsidR="000F412D">
        <w:rPr>
          <w:rFonts w:asciiTheme="minorHAnsi" w:eastAsia="Times New Roman" w:hAnsiTheme="minorHAnsi" w:cstheme="minorHAnsi"/>
          <w:color w:val="auto"/>
        </w:rPr>
        <w:t>,</w:t>
      </w:r>
      <w:r w:rsidRPr="00DA5613">
        <w:rPr>
          <w:rFonts w:asciiTheme="minorHAnsi" w:eastAsia="Times New Roman" w:hAnsiTheme="minorHAnsi" w:cstheme="minorHAnsi"/>
          <w:color w:val="auto"/>
        </w:rPr>
        <w:t xml:space="preserve"> they seek an order that the school districts be allowed to decide the breadth of their own masking policies, based on local conditions and individual needs.  Regardless, many courts have held that broad policies impacting others may be required as a reasonable accommodation for a particular individual.</w:t>
      </w:r>
      <w:r w:rsidRPr="00DA5613">
        <w:rPr>
          <w:rFonts w:asciiTheme="minorHAnsi" w:eastAsia="Times New Roman" w:hAnsiTheme="minorHAnsi" w:cstheme="minorHAnsi"/>
          <w:color w:val="auto"/>
          <w:vertAlign w:val="superscript"/>
        </w:rPr>
        <w:footnoteReference w:id="90"/>
      </w:r>
    </w:p>
    <w:p w14:paraId="5A88AFF9" w14:textId="77777777" w:rsidR="004130C6" w:rsidRPr="00DA5613" w:rsidRDefault="004130C6" w:rsidP="005C54C1">
      <w:pPr>
        <w:pStyle w:val="pleadingtls4"/>
        <w:rPr>
          <w:rFonts w:eastAsia="Times New Roman"/>
        </w:rPr>
      </w:pPr>
      <w:bookmarkStart w:id="161" w:name="_Toc83814474"/>
      <w:bookmarkStart w:id="162" w:name="_Toc83846190"/>
      <w:bookmarkStart w:id="163" w:name="_Hlk82509240"/>
      <w:r w:rsidRPr="00DA5613">
        <w:rPr>
          <w:rFonts w:eastAsia="Times New Roman"/>
        </w:rPr>
        <w:t>The discrimination is by reason of the Plaintiffs’ disability.</w:t>
      </w:r>
      <w:bookmarkEnd w:id="161"/>
      <w:bookmarkEnd w:id="162"/>
      <w:r w:rsidRPr="00DA5613">
        <w:rPr>
          <w:rFonts w:eastAsia="Times New Roman"/>
        </w:rPr>
        <w:t xml:space="preserve">  </w:t>
      </w:r>
    </w:p>
    <w:p w14:paraId="7DFDBF2F" w14:textId="77777777" w:rsidR="004130C6" w:rsidRPr="00DA5613" w:rsidRDefault="004130C6" w:rsidP="00545E56">
      <w:pPr>
        <w:widowControl w:val="0"/>
        <w:spacing w:line="480" w:lineRule="auto"/>
        <w:ind w:firstLine="720"/>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Defendants have attempted to frame the issue as concerns about “COVID-19 generally” and the “threat that we all face from COVID-19.”</w:t>
      </w:r>
      <w:r w:rsidRPr="00DA5613">
        <w:rPr>
          <w:rFonts w:asciiTheme="minorHAnsi" w:eastAsia="Times New Roman" w:hAnsiTheme="minorHAnsi" w:cstheme="minorHAnsi"/>
          <w:color w:val="auto"/>
          <w:vertAlign w:val="superscript"/>
        </w:rPr>
        <w:footnoteReference w:id="91"/>
      </w:r>
      <w:r w:rsidRPr="00DA5613">
        <w:rPr>
          <w:rFonts w:asciiTheme="minorHAnsi" w:eastAsia="Times New Roman" w:hAnsiTheme="minorHAnsi" w:cstheme="minorHAnsi"/>
          <w:color w:val="auto"/>
        </w:rPr>
        <w:t xml:space="preserve">  This ignores the evidence that each of the Plaintiffs has disabilities and medical conditions that qualify each of them as “high risk” for COVID-19 complications such as severe illness, death, or long COVID.</w:t>
      </w:r>
      <w:r w:rsidRPr="00DA5613">
        <w:rPr>
          <w:rFonts w:asciiTheme="minorHAnsi" w:eastAsia="Times New Roman" w:hAnsiTheme="minorHAnsi" w:cstheme="minorHAnsi"/>
          <w:color w:val="auto"/>
          <w:vertAlign w:val="superscript"/>
        </w:rPr>
        <w:footnoteReference w:id="92"/>
      </w:r>
      <w:r w:rsidRPr="00DA5613">
        <w:rPr>
          <w:rFonts w:asciiTheme="minorHAnsi" w:eastAsia="Times New Roman" w:hAnsiTheme="minorHAnsi" w:cstheme="minorHAnsi"/>
          <w:color w:val="auto"/>
        </w:rPr>
        <w:t xml:space="preserve">  </w:t>
      </w:r>
    </w:p>
    <w:p w14:paraId="0A9C6451"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M.P. has Down syndrome.</w:t>
      </w:r>
      <w:r w:rsidRPr="00DA5613">
        <w:rPr>
          <w:rFonts w:asciiTheme="minorHAnsi" w:eastAsia="Times New Roman" w:hAnsiTheme="minorHAnsi" w:cstheme="minorHAnsi"/>
          <w:color w:val="auto"/>
          <w:vertAlign w:val="superscript"/>
        </w:rPr>
        <w:footnoteReference w:id="93"/>
      </w:r>
    </w:p>
    <w:p w14:paraId="2CC11CD1"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E.T. has Down syndrome, asthma, and an immune deficiency.</w:t>
      </w:r>
      <w:r w:rsidRPr="00DA5613">
        <w:rPr>
          <w:rFonts w:asciiTheme="minorHAnsi" w:eastAsia="Times New Roman" w:hAnsiTheme="minorHAnsi" w:cstheme="minorHAnsi"/>
          <w:color w:val="auto"/>
          <w:vertAlign w:val="superscript"/>
        </w:rPr>
        <w:footnoteReference w:id="94"/>
      </w:r>
    </w:p>
    <w:p w14:paraId="077B49E8"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S.P. has spina bifida, epilepsy, and chronic respiratory failure.</w:t>
      </w:r>
      <w:r w:rsidRPr="00DA5613">
        <w:rPr>
          <w:rFonts w:asciiTheme="minorHAnsi" w:eastAsia="Times New Roman" w:hAnsiTheme="minorHAnsi" w:cstheme="minorHAnsi"/>
          <w:color w:val="auto"/>
          <w:vertAlign w:val="superscript"/>
        </w:rPr>
        <w:footnoteReference w:id="95"/>
      </w:r>
    </w:p>
    <w:p w14:paraId="1FCF03CD"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J.R. has moderate to severe asthma.</w:t>
      </w:r>
      <w:r w:rsidRPr="00DA5613">
        <w:rPr>
          <w:rFonts w:asciiTheme="minorHAnsi" w:eastAsia="Times New Roman" w:hAnsiTheme="minorHAnsi" w:cstheme="minorHAnsi"/>
          <w:color w:val="auto"/>
          <w:vertAlign w:val="superscript"/>
        </w:rPr>
        <w:footnoteReference w:id="96"/>
      </w:r>
    </w:p>
    <w:p w14:paraId="63D1A3FD"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H.M. has Down syndrome.</w:t>
      </w:r>
      <w:r w:rsidRPr="00DA5613">
        <w:rPr>
          <w:rFonts w:asciiTheme="minorHAnsi" w:eastAsia="Times New Roman" w:hAnsiTheme="minorHAnsi" w:cstheme="minorHAnsi"/>
          <w:color w:val="auto"/>
          <w:vertAlign w:val="superscript"/>
        </w:rPr>
        <w:footnoteReference w:id="97"/>
      </w:r>
    </w:p>
    <w:p w14:paraId="7C8D1CEA"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A.M. has cerebral palsy, and receives infusions which causes him to become immunosuppressed.</w:t>
      </w:r>
      <w:r w:rsidRPr="00DA5613">
        <w:rPr>
          <w:rFonts w:asciiTheme="minorHAnsi" w:eastAsia="Times New Roman" w:hAnsiTheme="minorHAnsi" w:cstheme="minorHAnsi"/>
          <w:color w:val="auto"/>
          <w:vertAlign w:val="superscript"/>
        </w:rPr>
        <w:footnoteReference w:id="98"/>
      </w:r>
      <w:r w:rsidRPr="00DA5613">
        <w:rPr>
          <w:rFonts w:asciiTheme="minorHAnsi" w:eastAsia="Times New Roman" w:hAnsiTheme="minorHAnsi" w:cstheme="minorHAnsi"/>
          <w:color w:val="auto"/>
        </w:rPr>
        <w:t xml:space="preserve">  </w:t>
      </w:r>
    </w:p>
    <w:p w14:paraId="4C9B2E73" w14:textId="77777777" w:rsidR="004130C6" w:rsidRPr="00DA5613" w:rsidRDefault="004130C6" w:rsidP="00545E56">
      <w:pPr>
        <w:widowControl w:val="0"/>
        <w:numPr>
          <w:ilvl w:val="0"/>
          <w:numId w:val="20"/>
        </w:numPr>
        <w:spacing w:line="480" w:lineRule="auto"/>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E.S. has moderate to severe asthma.</w:t>
      </w:r>
      <w:r w:rsidRPr="00DA5613">
        <w:rPr>
          <w:rFonts w:asciiTheme="minorHAnsi" w:eastAsia="Times New Roman" w:hAnsiTheme="minorHAnsi" w:cstheme="minorHAnsi"/>
          <w:color w:val="auto"/>
          <w:vertAlign w:val="superscript"/>
        </w:rPr>
        <w:footnoteReference w:id="99"/>
      </w:r>
    </w:p>
    <w:p w14:paraId="7851CBEA" w14:textId="77777777" w:rsidR="004130C6" w:rsidRPr="00DA5613" w:rsidRDefault="004130C6" w:rsidP="00545E56">
      <w:pPr>
        <w:widowControl w:val="0"/>
        <w:spacing w:line="480" w:lineRule="auto"/>
        <w:ind w:firstLine="720"/>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 xml:space="preserve">The CDC, treating doctors, and expert testimony establishes that each of these plaintiffs is at higher risk of injury; the threat to Plaintiffs is significant and it is greater than to the general public because of their conditions and because of GA-38’s preclusive effect on school districts’ ability to implement recommended prevention strategies to address the heightened risk the Plaintiffs’ disabilities create. The court in </w:t>
      </w:r>
      <w:r w:rsidRPr="00DA5613">
        <w:rPr>
          <w:rFonts w:asciiTheme="minorHAnsi" w:eastAsia="Times New Roman" w:hAnsiTheme="minorHAnsi" w:cstheme="minorHAnsi"/>
          <w:i/>
          <w:color w:val="auto"/>
        </w:rPr>
        <w:t>G.S.</w:t>
      </w:r>
      <w:r w:rsidRPr="00DA5613">
        <w:rPr>
          <w:rFonts w:asciiTheme="minorHAnsi" w:eastAsia="Times New Roman" w:hAnsiTheme="minorHAnsi" w:cstheme="minorHAnsi"/>
          <w:color w:val="auto"/>
        </w:rPr>
        <w:t xml:space="preserve"> held that a similar barrier created by the ban on universal masking is tied directly to the students’ disabilities.</w:t>
      </w:r>
      <w:r w:rsidRPr="00DA5613">
        <w:rPr>
          <w:rFonts w:asciiTheme="minorHAnsi" w:eastAsia="Times New Roman" w:hAnsiTheme="minorHAnsi" w:cstheme="minorHAnsi"/>
          <w:color w:val="auto"/>
          <w:vertAlign w:val="superscript"/>
        </w:rPr>
        <w:footnoteReference w:id="100"/>
      </w:r>
      <w:r w:rsidRPr="00DA5613">
        <w:rPr>
          <w:rFonts w:asciiTheme="minorHAnsi" w:eastAsia="Times New Roman" w:hAnsiTheme="minorHAnsi" w:cstheme="minorHAnsi"/>
          <w:color w:val="auto"/>
        </w:rPr>
        <w:t xml:space="preserve"> </w:t>
      </w:r>
    </w:p>
    <w:p w14:paraId="7508BD8D" w14:textId="77777777" w:rsidR="004130C6" w:rsidRPr="007426E5" w:rsidRDefault="004130C6" w:rsidP="00CD223D">
      <w:pPr>
        <w:pStyle w:val="pleadingtls3"/>
        <w:rPr>
          <w:rFonts w:eastAsia="Times New Roman"/>
        </w:rPr>
      </w:pPr>
      <w:bookmarkStart w:id="164" w:name="_Toc83814475"/>
      <w:bookmarkStart w:id="165" w:name="_Toc83846191"/>
      <w:r w:rsidRPr="007426E5">
        <w:rPr>
          <w:rFonts w:eastAsia="Times New Roman"/>
        </w:rPr>
        <w:t>GA 38 is preempted by the ADA and Section 504.</w:t>
      </w:r>
      <w:bookmarkEnd w:id="164"/>
      <w:bookmarkEnd w:id="165"/>
    </w:p>
    <w:p w14:paraId="31ADFCB4" w14:textId="24E3EE0A" w:rsidR="004130C6" w:rsidRPr="00DA5613" w:rsidRDefault="004130C6" w:rsidP="00545E56">
      <w:pPr>
        <w:widowControl w:val="0"/>
        <w:spacing w:line="480" w:lineRule="auto"/>
        <w:ind w:firstLine="720"/>
        <w:textAlignment w:val="baseline"/>
        <w:rPr>
          <w:rFonts w:asciiTheme="minorHAnsi" w:eastAsia="Times New Roman" w:hAnsiTheme="minorHAnsi" w:cstheme="minorHAnsi"/>
          <w:color w:val="auto"/>
        </w:rPr>
      </w:pPr>
      <w:r w:rsidRPr="00DA5613">
        <w:rPr>
          <w:rFonts w:asciiTheme="minorHAnsi" w:eastAsia="Times New Roman" w:hAnsiTheme="minorHAnsi" w:cstheme="minorHAnsi"/>
          <w:color w:val="auto"/>
        </w:rPr>
        <w:t xml:space="preserve">As discussed </w:t>
      </w:r>
      <w:r w:rsidRPr="00DA5613">
        <w:rPr>
          <w:rFonts w:asciiTheme="minorHAnsi" w:eastAsia="Times New Roman" w:hAnsiTheme="minorHAnsi" w:cstheme="minorHAnsi"/>
          <w:i/>
          <w:color w:val="auto"/>
        </w:rPr>
        <w:t>infra</w:t>
      </w:r>
      <w:r w:rsidRPr="00DA5613">
        <w:rPr>
          <w:rFonts w:asciiTheme="minorHAnsi" w:eastAsia="Times New Roman" w:hAnsiTheme="minorHAnsi" w:cstheme="minorHAnsi"/>
          <w:color w:val="auto"/>
        </w:rPr>
        <w:t xml:space="preserve">, under the Supremacy Clause, the laws of the United States “shall be the supreme Law of the Land; and the Judges in every State shall be bound thereby, any Thing in the Constitution or Laws of any State to the Contrary notwithstanding.”  </w:t>
      </w:r>
      <w:r w:rsidR="00FF06FE" w:rsidRPr="00DA5613">
        <w:rPr>
          <w:rFonts w:asciiTheme="minorHAnsi" w:eastAsia="Times New Roman" w:hAnsiTheme="minorHAnsi" w:cstheme="minorHAnsi"/>
          <w:color w:val="auto"/>
        </w:rPr>
        <w:t>U.S. Const. art. VI, cl. 2</w:t>
      </w:r>
      <w:r w:rsidR="00FF06FE">
        <w:rPr>
          <w:rFonts w:asciiTheme="minorHAnsi" w:eastAsia="Times New Roman" w:hAnsiTheme="minorHAnsi" w:cstheme="minorHAnsi"/>
          <w:color w:val="auto"/>
        </w:rPr>
        <w:t xml:space="preserve">.  </w:t>
      </w:r>
      <w:r w:rsidRPr="00DA5613">
        <w:rPr>
          <w:rFonts w:asciiTheme="minorHAnsi" w:eastAsia="Times New Roman" w:hAnsiTheme="minorHAnsi" w:cstheme="minorHAnsi"/>
          <w:color w:val="auto"/>
        </w:rPr>
        <w:t xml:space="preserve">State law must give way to the extent it “conflicts with federal law.”  </w:t>
      </w:r>
      <w:r w:rsidRPr="00DA5613">
        <w:rPr>
          <w:rFonts w:asciiTheme="minorHAnsi" w:eastAsia="Times New Roman" w:hAnsiTheme="minorHAnsi" w:cstheme="minorHAnsi"/>
          <w:i/>
          <w:color w:val="auto"/>
        </w:rPr>
        <w:t>Crosby v. Nat’l Foreign Trade Council</w:t>
      </w:r>
      <w:r w:rsidRPr="00DA5613">
        <w:rPr>
          <w:rFonts w:asciiTheme="minorHAnsi" w:eastAsia="Times New Roman" w:hAnsiTheme="minorHAnsi" w:cstheme="minorHAnsi"/>
          <w:color w:val="auto"/>
        </w:rPr>
        <w:t xml:space="preserve">, 530 U.S. 363, 378 (2000).  Simply put, a defendant “is duty bound not to enforce a [state] statutory provision if doing so would either cause or perpetrate unlawful discrimination” under federal law.  </w:t>
      </w:r>
      <w:r w:rsidRPr="00DA5613">
        <w:rPr>
          <w:rFonts w:asciiTheme="minorHAnsi" w:eastAsia="Times New Roman" w:hAnsiTheme="minorHAnsi" w:cstheme="minorHAnsi"/>
          <w:i/>
          <w:color w:val="auto"/>
        </w:rPr>
        <w:t>Astralis Condo. Ass’n v. Sec’y, U.S. Dep’t of Hous. &amp; Urb. Dev</w:t>
      </w:r>
      <w:r w:rsidRPr="00DA5613">
        <w:rPr>
          <w:rFonts w:asciiTheme="minorHAnsi" w:eastAsia="Times New Roman" w:hAnsiTheme="minorHAnsi" w:cstheme="minorHAnsi"/>
          <w:color w:val="auto"/>
        </w:rPr>
        <w:t xml:space="preserve">., 620 F.3d 62, 67-70 (1st Cir. 2010).  As found by the court in </w:t>
      </w:r>
      <w:r w:rsidRPr="00DA5613">
        <w:rPr>
          <w:rFonts w:asciiTheme="minorHAnsi" w:eastAsia="Times New Roman" w:hAnsiTheme="minorHAnsi" w:cstheme="minorHAnsi"/>
          <w:i/>
          <w:iCs/>
          <w:color w:val="auto"/>
        </w:rPr>
        <w:t>Arc of Iowa</w:t>
      </w:r>
      <w:r w:rsidRPr="00DA5613">
        <w:rPr>
          <w:rFonts w:asciiTheme="minorHAnsi" w:eastAsia="Times New Roman" w:hAnsiTheme="minorHAnsi" w:cstheme="minorHAnsi"/>
          <w:color w:val="auto"/>
        </w:rPr>
        <w:t>, the ban on universal masking conflicts with the ADA and Section 504 because it excludes children with disabilities and denies them of the benefits to which they are entitled.</w:t>
      </w:r>
      <w:r w:rsidRPr="00DA5613">
        <w:rPr>
          <w:rFonts w:asciiTheme="minorHAnsi" w:eastAsia="Times New Roman" w:hAnsiTheme="minorHAnsi" w:cstheme="minorHAnsi"/>
          <w:color w:val="auto"/>
          <w:vertAlign w:val="superscript"/>
        </w:rPr>
        <w:footnoteReference w:id="101"/>
      </w:r>
      <w:r w:rsidRPr="00DA5613">
        <w:rPr>
          <w:rFonts w:asciiTheme="minorHAnsi" w:eastAsia="Times New Roman" w:hAnsiTheme="minorHAnsi" w:cstheme="minorHAnsi"/>
          <w:color w:val="auto"/>
        </w:rPr>
        <w:t xml:space="preserve"> </w:t>
      </w:r>
      <w:r w:rsidR="00FF06FE">
        <w:rPr>
          <w:rFonts w:asciiTheme="minorHAnsi" w:eastAsia="Times New Roman" w:hAnsiTheme="minorHAnsi" w:cstheme="minorHAnsi"/>
          <w:color w:val="auto"/>
        </w:rPr>
        <w:t xml:space="preserve"> </w:t>
      </w:r>
      <w:r w:rsidRPr="00DA5613">
        <w:rPr>
          <w:rFonts w:asciiTheme="minorHAnsi" w:eastAsia="Times New Roman" w:hAnsiTheme="minorHAnsi" w:cstheme="minorHAnsi"/>
          <w:color w:val="auto"/>
        </w:rPr>
        <w:t>For this reason, the ban stands as an obstacle to the “accomplishment and execution of the full purposes and objectives of Congress” and state officials cannot enforce it.</w:t>
      </w:r>
      <w:r w:rsidRPr="00DA5613">
        <w:rPr>
          <w:rFonts w:asciiTheme="minorHAnsi" w:eastAsia="Times New Roman" w:hAnsiTheme="minorHAnsi" w:cstheme="minorHAnsi"/>
          <w:color w:val="auto"/>
          <w:vertAlign w:val="superscript"/>
        </w:rPr>
        <w:footnoteReference w:id="102"/>
      </w:r>
      <w:r w:rsidRPr="00DA5613">
        <w:rPr>
          <w:rFonts w:asciiTheme="minorHAnsi" w:eastAsia="Times New Roman" w:hAnsiTheme="minorHAnsi" w:cstheme="minorHAnsi"/>
          <w:color w:val="auto"/>
        </w:rPr>
        <w:t xml:space="preserve">  Similarly, the court in R.K. found that the school districts of plaintiffs are “being suppressed” by the Tennessee executive order on masks, and thus prevented “from giving Plaintiffs the effective accommodation of a temporary universal mask mandate for all students and teachers.”</w:t>
      </w:r>
      <w:r w:rsidRPr="00DA5613">
        <w:rPr>
          <w:rFonts w:asciiTheme="minorHAnsi" w:eastAsia="Times New Roman" w:hAnsiTheme="minorHAnsi" w:cstheme="minorHAnsi"/>
          <w:color w:val="auto"/>
          <w:vertAlign w:val="superscript"/>
        </w:rPr>
        <w:t xml:space="preserve"> </w:t>
      </w:r>
      <w:r w:rsidRPr="00DA5613">
        <w:rPr>
          <w:rFonts w:asciiTheme="minorHAnsi" w:eastAsia="Times New Roman" w:hAnsiTheme="minorHAnsi" w:cstheme="minorHAnsi"/>
          <w:color w:val="auto"/>
          <w:vertAlign w:val="superscript"/>
        </w:rPr>
        <w:footnoteReference w:id="103"/>
      </w:r>
      <w:r w:rsidRPr="00DA5613">
        <w:rPr>
          <w:rFonts w:asciiTheme="minorHAnsi" w:eastAsia="Times New Roman" w:hAnsiTheme="minorHAnsi" w:cstheme="minorHAnsi"/>
          <w:color w:val="auto"/>
        </w:rPr>
        <w:t xml:space="preserve">  As a result, the executive order “appears to violate federal law and must yield.”</w:t>
      </w:r>
      <w:r w:rsidRPr="00DA5613">
        <w:rPr>
          <w:rFonts w:asciiTheme="minorHAnsi" w:eastAsia="Times New Roman" w:hAnsiTheme="minorHAnsi" w:cstheme="minorHAnsi"/>
          <w:color w:val="auto"/>
          <w:vertAlign w:val="superscript"/>
        </w:rPr>
        <w:footnoteReference w:id="104"/>
      </w:r>
      <w:bookmarkEnd w:id="163"/>
    </w:p>
    <w:p w14:paraId="7B349995" w14:textId="5663EE85" w:rsidR="004130C6" w:rsidRPr="00DA5613" w:rsidRDefault="004130C6" w:rsidP="007426E5">
      <w:pPr>
        <w:pStyle w:val="pleadingtls3"/>
      </w:pPr>
      <w:bookmarkStart w:id="166" w:name="_Toc83814476"/>
      <w:bookmarkStart w:id="167" w:name="_Toc83846192"/>
      <w:r w:rsidRPr="00DA5613">
        <w:t>GA-38 and the TEA’s Public Health Guidance are preempted by the American Rescue Plan Act.</w:t>
      </w:r>
      <w:bookmarkEnd w:id="166"/>
      <w:bookmarkEnd w:id="167"/>
    </w:p>
    <w:p w14:paraId="6B524E86" w14:textId="031A9D3C"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GA-38 and the TEA’s Public Health Guidance are also preempted by the American Rescue Plan of 2021</w:t>
      </w:r>
      <w:r w:rsidR="003F50DD">
        <w:rPr>
          <w:rFonts w:asciiTheme="minorHAnsi" w:hAnsiTheme="minorHAnsi" w:cstheme="minorHAnsi"/>
        </w:rPr>
        <w:t xml:space="preserve"> (the “Rescue Act”)</w:t>
      </w:r>
      <w:r w:rsidRPr="00DA5613">
        <w:rPr>
          <w:rFonts w:asciiTheme="minorHAnsi" w:hAnsiTheme="minorHAnsi" w:cstheme="minorHAnsi"/>
        </w:rPr>
        <w:t xml:space="preserve">, because their categorical prohibition on mask requirements is in irreconcilable conflict with </w:t>
      </w:r>
      <w:r w:rsidR="005A71E1">
        <w:rPr>
          <w:rFonts w:asciiTheme="minorHAnsi" w:hAnsiTheme="minorHAnsi" w:cstheme="minorHAnsi"/>
        </w:rPr>
        <w:t xml:space="preserve">Congress’s </w:t>
      </w:r>
      <w:r w:rsidRPr="00DA5613">
        <w:rPr>
          <w:rFonts w:asciiTheme="minorHAnsi" w:hAnsiTheme="minorHAnsi" w:cstheme="minorHAnsi"/>
        </w:rPr>
        <w:t>choice to give local school districts discretion to decide for themselves whether and to what extent to adopt policies, such as universal masking, in order to best ensure a safe return to in-person instruction.  Plaintiffs’ preemption claim is properly before this Court because it is grounded in the Court’s well-established and longstanding equitable power to enjoin unlawful actions by state officials.</w:t>
      </w:r>
    </w:p>
    <w:p w14:paraId="4F9B5839" w14:textId="6FB129BD"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r>
      <w:r w:rsidR="003F50DD">
        <w:rPr>
          <w:rFonts w:asciiTheme="minorHAnsi" w:hAnsiTheme="minorHAnsi" w:cstheme="minorHAnsi"/>
        </w:rPr>
        <w:t>Again, t</w:t>
      </w:r>
      <w:r w:rsidR="003F50DD" w:rsidRPr="00DA5613">
        <w:rPr>
          <w:rFonts w:asciiTheme="minorHAnsi" w:hAnsiTheme="minorHAnsi" w:cstheme="minorHAnsi"/>
        </w:rPr>
        <w:t xml:space="preserve">he </w:t>
      </w:r>
      <w:r w:rsidRPr="00DA5613">
        <w:rPr>
          <w:rFonts w:asciiTheme="minorHAnsi" w:hAnsiTheme="minorHAnsi" w:cstheme="minorHAnsi"/>
        </w:rPr>
        <w:t>Supremacy Clause of the United States Constitution renders federal law the “supreme Law of the Land.”  U.S. C</w:t>
      </w:r>
      <w:r w:rsidR="00BB1355">
        <w:rPr>
          <w:rFonts w:asciiTheme="minorHAnsi" w:hAnsiTheme="minorHAnsi" w:cstheme="minorHAnsi"/>
        </w:rPr>
        <w:t>onst</w:t>
      </w:r>
      <w:r w:rsidRPr="00DA5613">
        <w:rPr>
          <w:rFonts w:asciiTheme="minorHAnsi" w:hAnsiTheme="minorHAnsi" w:cstheme="minorHAnsi"/>
        </w:rPr>
        <w:t xml:space="preserve">. art. VI, cl. 2.  The doctrine of federal preemption that arises out of the Supremacy Clause requires that “any state law, however clearly within a State's acknowledged power, which interferes with or is contrary to federal law, must yield.” </w:t>
      </w:r>
      <w:r w:rsidRPr="00DA5613">
        <w:rPr>
          <w:rFonts w:asciiTheme="minorHAnsi" w:hAnsiTheme="minorHAnsi" w:cstheme="minorHAnsi"/>
          <w:i/>
          <w:iCs/>
        </w:rPr>
        <w:t>Felder v. Casey</w:t>
      </w:r>
      <w:r w:rsidRPr="00DA5613">
        <w:rPr>
          <w:rFonts w:asciiTheme="minorHAnsi" w:hAnsiTheme="minorHAnsi" w:cstheme="minorHAnsi"/>
        </w:rPr>
        <w:t xml:space="preserve">, 487 U.S. 131, 138 (1988) (quoting </w:t>
      </w:r>
      <w:r w:rsidRPr="00DA5613">
        <w:rPr>
          <w:rFonts w:asciiTheme="minorHAnsi" w:hAnsiTheme="minorHAnsi" w:cstheme="minorHAnsi"/>
          <w:i/>
          <w:iCs/>
        </w:rPr>
        <w:t>Free v. Bland</w:t>
      </w:r>
      <w:r w:rsidRPr="00DA5613">
        <w:rPr>
          <w:rFonts w:asciiTheme="minorHAnsi" w:hAnsiTheme="minorHAnsi" w:cstheme="minorHAnsi"/>
        </w:rPr>
        <w:t xml:space="preserve">, 369 U.S. 663, 666 (1962)).  State law is preempted when, among other things, it “stands as an obstacle to the accomplishment and execution of the full purposes and objectives of Congress.”  </w:t>
      </w:r>
      <w:r w:rsidRPr="00DA5613">
        <w:rPr>
          <w:rFonts w:asciiTheme="minorHAnsi" w:hAnsiTheme="minorHAnsi" w:cstheme="minorHAnsi"/>
          <w:i/>
          <w:iCs/>
        </w:rPr>
        <w:t>Pac. Gas &amp; Elec. Co. v. State Energy Res. Conserv. &amp; Dev. Comm’n</w:t>
      </w:r>
      <w:r w:rsidRPr="00DA5613">
        <w:rPr>
          <w:rFonts w:asciiTheme="minorHAnsi" w:hAnsiTheme="minorHAnsi" w:cstheme="minorHAnsi"/>
        </w:rPr>
        <w:t>, 461 U.S. 190, 204 (1983).</w:t>
      </w:r>
    </w:p>
    <w:p w14:paraId="15947221" w14:textId="672767BA" w:rsidR="004130C6" w:rsidRPr="00DA5613" w:rsidRDefault="004130C6" w:rsidP="007426E5">
      <w:pPr>
        <w:pStyle w:val="pleadingtls4"/>
      </w:pPr>
      <w:bookmarkStart w:id="168" w:name="_Toc83814477"/>
      <w:bookmarkStart w:id="169" w:name="_Toc83846193"/>
      <w:r w:rsidRPr="00DA5613">
        <w:t xml:space="preserve">The </w:t>
      </w:r>
      <w:r w:rsidR="006C7A72">
        <w:t xml:space="preserve">Rescue </w:t>
      </w:r>
      <w:r w:rsidRPr="00DA5613">
        <w:t>Act expressly gives local school districts discretion to adopt policies, including universal masking, to achieve a safe return to in-person instruction.</w:t>
      </w:r>
      <w:bookmarkEnd w:id="168"/>
      <w:bookmarkEnd w:id="169"/>
    </w:p>
    <w:p w14:paraId="274FB34F" w14:textId="08E165C9" w:rsidR="004130C6" w:rsidRPr="00DA5613" w:rsidRDefault="004130C6" w:rsidP="00DE6B57">
      <w:pPr>
        <w:spacing w:line="480" w:lineRule="auto"/>
        <w:ind w:firstLine="720"/>
        <w:rPr>
          <w:rFonts w:asciiTheme="minorHAnsi" w:hAnsiTheme="minorHAnsi" w:cstheme="minorHAnsi"/>
        </w:rPr>
      </w:pPr>
      <w:r w:rsidRPr="00DA5613">
        <w:rPr>
          <w:rFonts w:asciiTheme="minorHAnsi" w:hAnsiTheme="minorHAnsi" w:cstheme="minorHAnsi"/>
        </w:rPr>
        <w:t xml:space="preserve">Congress enacted the $1.9 trillion </w:t>
      </w:r>
      <w:r w:rsidR="006C7A72">
        <w:rPr>
          <w:rFonts w:asciiTheme="minorHAnsi" w:hAnsiTheme="minorHAnsi" w:cstheme="minorHAnsi"/>
        </w:rPr>
        <w:t xml:space="preserve">Rescue Act </w:t>
      </w:r>
      <w:r w:rsidRPr="00DA5613">
        <w:rPr>
          <w:rFonts w:asciiTheme="minorHAnsi" w:hAnsiTheme="minorHAnsi" w:cstheme="minorHAnsi"/>
        </w:rPr>
        <w:t xml:space="preserve">to address the impact of the COVID-19 pandemic and facilitate recovery from its health and economic effects.  </w:t>
      </w:r>
      <w:r w:rsidRPr="00DA5613">
        <w:rPr>
          <w:rFonts w:asciiTheme="minorHAnsi" w:hAnsiTheme="minorHAnsi" w:cstheme="minorHAnsi"/>
          <w:i/>
          <w:iCs/>
        </w:rPr>
        <w:t>See</w:t>
      </w:r>
      <w:r w:rsidRPr="00DA5613">
        <w:rPr>
          <w:rFonts w:asciiTheme="minorHAnsi" w:hAnsiTheme="minorHAnsi" w:cstheme="minorHAnsi"/>
        </w:rPr>
        <w:t xml:space="preserve"> Pub. L. No.  117-2.  With regard to education, the </w:t>
      </w:r>
      <w:r w:rsidR="00FF06FE">
        <w:rPr>
          <w:rFonts w:asciiTheme="minorHAnsi" w:hAnsiTheme="minorHAnsi" w:cstheme="minorHAnsi"/>
        </w:rPr>
        <w:t>Act</w:t>
      </w:r>
      <w:r w:rsidR="00FF06FE" w:rsidRPr="00DA5613">
        <w:rPr>
          <w:rFonts w:asciiTheme="minorHAnsi" w:hAnsiTheme="minorHAnsi" w:cstheme="minorHAnsi"/>
        </w:rPr>
        <w:t xml:space="preserve"> </w:t>
      </w:r>
      <w:r w:rsidRPr="00DA5613">
        <w:rPr>
          <w:rFonts w:asciiTheme="minorHAnsi" w:hAnsiTheme="minorHAnsi" w:cstheme="minorHAnsi"/>
        </w:rPr>
        <w:t>provided nearly $121 billion in Elementary and Secondary School Emergency Relief funding in order to “help schools return safely to in-person instruction, maximize in-person instructional time, sustain the safe operation of schools, and address the academic, social, emotional, and mental health impacts of the COVID-19 pandemic on the Nation’s students.”</w:t>
      </w:r>
      <w:r w:rsidRPr="00DA5613">
        <w:rPr>
          <w:rFonts w:asciiTheme="minorHAnsi" w:hAnsiTheme="minorHAnsi" w:cstheme="minorHAnsi"/>
          <w:vertAlign w:val="superscript"/>
        </w:rPr>
        <w:footnoteReference w:id="105"/>
      </w:r>
      <w:r w:rsidRPr="00DA5613">
        <w:rPr>
          <w:rFonts w:asciiTheme="minorHAnsi" w:hAnsiTheme="minorHAnsi" w:cstheme="minorHAnsi"/>
        </w:rPr>
        <w:t xml:space="preserve">  Local districts in Texas – including the districts in which Plaintiffs attend school – have been allocated over $11 billion in </w:t>
      </w:r>
      <w:r w:rsidR="00FF06FE">
        <w:rPr>
          <w:rFonts w:asciiTheme="minorHAnsi" w:hAnsiTheme="minorHAnsi" w:cstheme="minorHAnsi"/>
        </w:rPr>
        <w:t>this</w:t>
      </w:r>
      <w:r w:rsidR="00FF06FE" w:rsidRPr="00DA5613">
        <w:rPr>
          <w:rFonts w:asciiTheme="minorHAnsi" w:hAnsiTheme="minorHAnsi" w:cstheme="minorHAnsi"/>
        </w:rPr>
        <w:t xml:space="preserve"> </w:t>
      </w:r>
      <w:r w:rsidRPr="00DA5613">
        <w:rPr>
          <w:rFonts w:asciiTheme="minorHAnsi" w:hAnsiTheme="minorHAnsi" w:cstheme="minorHAnsi"/>
        </w:rPr>
        <w:t>funding so that they can address those needs.</w:t>
      </w:r>
      <w:r w:rsidRPr="00DA5613">
        <w:rPr>
          <w:rFonts w:asciiTheme="minorHAnsi" w:hAnsiTheme="minorHAnsi" w:cstheme="minorHAnsi"/>
          <w:vertAlign w:val="superscript"/>
        </w:rPr>
        <w:footnoteReference w:id="106"/>
      </w:r>
      <w:r w:rsidRPr="00DA5613">
        <w:rPr>
          <w:rFonts w:asciiTheme="minorHAnsi" w:hAnsiTheme="minorHAnsi" w:cstheme="minorHAnsi"/>
        </w:rPr>
        <w:t xml:space="preserve">  A key purpose of the </w:t>
      </w:r>
      <w:r w:rsidR="00FF06FE">
        <w:rPr>
          <w:rFonts w:asciiTheme="minorHAnsi" w:hAnsiTheme="minorHAnsi" w:cstheme="minorHAnsi"/>
        </w:rPr>
        <w:t xml:space="preserve">Act’s school </w:t>
      </w:r>
      <w:r w:rsidRPr="00DA5613">
        <w:rPr>
          <w:rFonts w:asciiTheme="minorHAnsi" w:hAnsiTheme="minorHAnsi" w:cstheme="minorHAnsi"/>
        </w:rPr>
        <w:t xml:space="preserve">funding is to assist schools in achieving a “safe return to in-person instruction.”  Pub. L. No. 117-2, § 2001(i).  To that end, the </w:t>
      </w:r>
      <w:r w:rsidR="00FF06FE">
        <w:rPr>
          <w:rFonts w:asciiTheme="minorHAnsi" w:hAnsiTheme="minorHAnsi" w:cstheme="minorHAnsi"/>
        </w:rPr>
        <w:t>Act</w:t>
      </w:r>
      <w:r w:rsidR="00FF06FE" w:rsidRPr="00DA5613">
        <w:rPr>
          <w:rFonts w:asciiTheme="minorHAnsi" w:hAnsiTheme="minorHAnsi" w:cstheme="minorHAnsi"/>
        </w:rPr>
        <w:t xml:space="preserve"> </w:t>
      </w:r>
      <w:r w:rsidRPr="00DA5613">
        <w:rPr>
          <w:rFonts w:asciiTheme="minorHAnsi" w:hAnsiTheme="minorHAnsi" w:cstheme="minorHAnsi"/>
        </w:rPr>
        <w:t xml:space="preserve">requires local school districts receiving funding to develop and make publicly available a “plan for the safe return to in-person instruction and continuity of services.”  </w:t>
      </w:r>
      <w:r w:rsidRPr="00DA5613">
        <w:rPr>
          <w:rFonts w:asciiTheme="minorHAnsi" w:hAnsiTheme="minorHAnsi" w:cstheme="minorHAnsi"/>
          <w:i/>
          <w:iCs/>
        </w:rPr>
        <w:t>Id.</w:t>
      </w:r>
      <w:r w:rsidRPr="00DA5613">
        <w:rPr>
          <w:rFonts w:asciiTheme="minorHAnsi" w:hAnsiTheme="minorHAnsi" w:cstheme="minorHAnsi"/>
        </w:rPr>
        <w:t xml:space="preserve"> § 2001(i)(1).  Thus, the express intent of the </w:t>
      </w:r>
      <w:r w:rsidR="00FF06FE">
        <w:rPr>
          <w:rFonts w:asciiTheme="minorHAnsi" w:hAnsiTheme="minorHAnsi" w:cstheme="minorHAnsi"/>
        </w:rPr>
        <w:t>Act</w:t>
      </w:r>
      <w:r w:rsidR="00FF06FE" w:rsidRPr="00DA5613">
        <w:rPr>
          <w:rFonts w:asciiTheme="minorHAnsi" w:hAnsiTheme="minorHAnsi" w:cstheme="minorHAnsi"/>
        </w:rPr>
        <w:t xml:space="preserve"> </w:t>
      </w:r>
      <w:r w:rsidRPr="00DA5613">
        <w:rPr>
          <w:rFonts w:asciiTheme="minorHAnsi" w:hAnsiTheme="minorHAnsi" w:cstheme="minorHAnsi"/>
        </w:rPr>
        <w:t xml:space="preserve">is not only that children should return to in-person schooling but that they must do so </w:t>
      </w:r>
      <w:r w:rsidRPr="00DA5613">
        <w:rPr>
          <w:rFonts w:asciiTheme="minorHAnsi" w:hAnsiTheme="minorHAnsi" w:cstheme="minorHAnsi"/>
          <w:b/>
          <w:bCs/>
          <w:i/>
          <w:iCs/>
        </w:rPr>
        <w:t>safely</w:t>
      </w:r>
      <w:r w:rsidRPr="00DA5613">
        <w:rPr>
          <w:rFonts w:asciiTheme="minorHAnsi" w:hAnsiTheme="minorHAnsi" w:cstheme="minorHAnsi"/>
        </w:rPr>
        <w:t>.</w:t>
      </w:r>
    </w:p>
    <w:p w14:paraId="379EA4CF" w14:textId="1D70F820" w:rsidR="004130C6" w:rsidRPr="00DA5613" w:rsidRDefault="004130C6" w:rsidP="00DE6B57">
      <w:pPr>
        <w:spacing w:line="480" w:lineRule="auto"/>
        <w:ind w:firstLine="720"/>
        <w:rPr>
          <w:rFonts w:asciiTheme="minorHAnsi" w:hAnsiTheme="minorHAnsi" w:cstheme="minorHAnsi"/>
        </w:rPr>
      </w:pPr>
      <w:r w:rsidRPr="00DA5613">
        <w:rPr>
          <w:rFonts w:asciiTheme="minorHAnsi" w:hAnsiTheme="minorHAnsi" w:cstheme="minorHAnsi"/>
        </w:rPr>
        <w:t xml:space="preserve">Congress did not dictate a one-size-fits-all approach to achieving this goal.  Instead, the </w:t>
      </w:r>
      <w:r w:rsidR="00FF06FE">
        <w:rPr>
          <w:rFonts w:asciiTheme="minorHAnsi" w:hAnsiTheme="minorHAnsi" w:cstheme="minorHAnsi"/>
        </w:rPr>
        <w:t>Act</w:t>
      </w:r>
      <w:r w:rsidR="00FF06FE" w:rsidRPr="00DA5613">
        <w:rPr>
          <w:rFonts w:asciiTheme="minorHAnsi" w:hAnsiTheme="minorHAnsi" w:cstheme="minorHAnsi"/>
        </w:rPr>
        <w:t xml:space="preserve"> </w:t>
      </w:r>
      <w:r w:rsidRPr="00DA5613">
        <w:rPr>
          <w:rFonts w:asciiTheme="minorHAnsi" w:hAnsiTheme="minorHAnsi" w:cstheme="minorHAnsi"/>
        </w:rPr>
        <w:t xml:space="preserve">explicitly gives local school districts the authority to use their discretion in determining how to allocate up to 80% of the ESSER funding for a variety of pandemic-related purposes.  </w:t>
      </w:r>
      <w:r w:rsidRPr="00DA5613">
        <w:rPr>
          <w:rFonts w:asciiTheme="minorHAnsi" w:hAnsiTheme="minorHAnsi" w:cstheme="minorHAnsi"/>
          <w:i/>
          <w:iCs/>
        </w:rPr>
        <w:t>See</w:t>
      </w:r>
      <w:r w:rsidRPr="00DA5613">
        <w:rPr>
          <w:rFonts w:asciiTheme="minorHAnsi" w:hAnsiTheme="minorHAnsi" w:cstheme="minorHAnsi"/>
        </w:rPr>
        <w:t xml:space="preserve"> Pub. L. No.  117-2, § 2001(i)(e)(2) (local educational agencies “shall use the remaining funds for any of the following:…”).  Among other purposes, local school districts are authorized to use </w:t>
      </w:r>
      <w:r w:rsidR="00FF06FE">
        <w:rPr>
          <w:rFonts w:asciiTheme="minorHAnsi" w:hAnsiTheme="minorHAnsi" w:cstheme="minorHAnsi"/>
        </w:rPr>
        <w:t xml:space="preserve">the Act’s </w:t>
      </w:r>
      <w:r w:rsidRPr="00DA5613">
        <w:rPr>
          <w:rFonts w:asciiTheme="minorHAnsi" w:hAnsiTheme="minorHAnsi" w:cstheme="minorHAnsi"/>
        </w:rPr>
        <w:t>fund</w:t>
      </w:r>
      <w:r w:rsidR="00FF06FE">
        <w:rPr>
          <w:rFonts w:asciiTheme="minorHAnsi" w:hAnsiTheme="minorHAnsi" w:cstheme="minorHAnsi"/>
        </w:rPr>
        <w:t>ing</w:t>
      </w:r>
      <w:r w:rsidRPr="00DA5613">
        <w:rPr>
          <w:rFonts w:asciiTheme="minorHAnsi" w:hAnsiTheme="minorHAnsi" w:cstheme="minorHAnsi"/>
        </w:rPr>
        <w:t xml:space="preserve"> for “developing strategies and implementing public health protocols </w:t>
      </w:r>
      <w:r w:rsidRPr="00DA5613">
        <w:rPr>
          <w:rFonts w:asciiTheme="minorHAnsi" w:hAnsiTheme="minorHAnsi" w:cstheme="minorHAnsi"/>
          <w:b/>
          <w:bCs/>
          <w:i/>
          <w:iCs/>
        </w:rPr>
        <w:t>including, to the greatest extent practicable, policies in line with guidance from the Centers for Disease Control and Prevention</w:t>
      </w:r>
      <w:r w:rsidRPr="00DA5613">
        <w:rPr>
          <w:rFonts w:asciiTheme="minorHAnsi" w:hAnsiTheme="minorHAnsi" w:cstheme="minorHAnsi"/>
        </w:rPr>
        <w:t xml:space="preserve"> for the reopening and operation of school facilit</w:t>
      </w:r>
      <w:r w:rsidRPr="00DA5613">
        <w:rPr>
          <w:rFonts w:asciiTheme="minorHAnsi" w:eastAsia="Times New Roman" w:hAnsiTheme="minorHAnsi" w:cstheme="minorHAnsi"/>
        </w:rPr>
        <w:t xml:space="preserve">ies to effectively maintain the health and safety of students, educators, and other staff.”  </w:t>
      </w:r>
      <w:r w:rsidRPr="00DA5613">
        <w:rPr>
          <w:rFonts w:asciiTheme="minorHAnsi" w:eastAsia="Times New Roman" w:hAnsiTheme="minorHAnsi" w:cstheme="minorHAnsi"/>
          <w:i/>
          <w:iCs/>
        </w:rPr>
        <w:t>Id</w:t>
      </w:r>
      <w:r w:rsidRPr="00DA5613">
        <w:rPr>
          <w:rFonts w:asciiTheme="minorHAnsi" w:eastAsia="Times New Roman" w:hAnsiTheme="minorHAnsi" w:cstheme="minorHAnsi"/>
        </w:rPr>
        <w:t>. § 2001(e)(2)(Q) (emphasis added).  A</w:t>
      </w:r>
      <w:r w:rsidRPr="00DA5613">
        <w:rPr>
          <w:rFonts w:asciiTheme="minorHAnsi" w:hAnsiTheme="minorHAnsi" w:cstheme="minorHAnsi"/>
        </w:rPr>
        <w:t>s discussed above</w:t>
      </w:r>
      <w:r w:rsidR="00453FDD">
        <w:rPr>
          <w:rFonts w:asciiTheme="minorHAnsi" w:hAnsiTheme="minorHAnsi" w:cstheme="minorHAnsi"/>
        </w:rPr>
        <w:t xml:space="preserve"> in Section II.A</w:t>
      </w:r>
      <w:r w:rsidRPr="00DA5613">
        <w:rPr>
          <w:rFonts w:asciiTheme="minorHAnsi" w:hAnsiTheme="minorHAnsi" w:cstheme="minorHAnsi"/>
        </w:rPr>
        <w:t>, the CDC’s guidance specifically recommends universal indoor masking in all K-12 schools.</w:t>
      </w:r>
      <w:r w:rsidR="00453FDD">
        <w:rPr>
          <w:rStyle w:val="FootnoteReference"/>
          <w:rFonts w:asciiTheme="minorHAnsi" w:hAnsiTheme="minorHAnsi" w:cstheme="minorHAnsi"/>
        </w:rPr>
        <w:footnoteReference w:id="107"/>
      </w:r>
    </w:p>
    <w:p w14:paraId="5C255B22" w14:textId="6256D8F4"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Consistent with the statute’s mandate that local school districts develop plans for safe return to in-person instruction, the U.S. Department of Education has issued interim final requirements providing that each school district’s safe-return plan must describe “the extent to which it has adopted policies, and a description of any such policies, on each of the following safety recommendations established by the CDC…,” specifically including “universal and correct wearing of masks.”  86 Fed. Reg. 21195, 21200.  To be clear, the plan requirement “does not mandate that [a local educational agency] adopt the CDC guidance, but only requires that [it] describe in its plan the extent to which it has adopted the key prevention and mitigation strategies identified in the guidance,” which include both “[</w:t>
      </w:r>
      <w:r w:rsidRPr="00DA5613">
        <w:rPr>
          <w:rFonts w:asciiTheme="minorHAnsi" w:hAnsiTheme="minorHAnsi" w:cstheme="minorHAnsi"/>
          <w:b/>
          <w:bCs/>
          <w:i/>
          <w:iCs/>
        </w:rPr>
        <w:t>u]niversal and correct wearing of masks</w:t>
      </w:r>
      <w:r w:rsidRPr="00DA5613">
        <w:rPr>
          <w:rFonts w:asciiTheme="minorHAnsi" w:hAnsiTheme="minorHAnsi" w:cstheme="minorHAnsi"/>
        </w:rPr>
        <w:t>,” and notably “</w:t>
      </w:r>
      <w:r w:rsidRPr="00DA5613">
        <w:rPr>
          <w:rFonts w:asciiTheme="minorHAnsi" w:hAnsiTheme="minorHAnsi" w:cstheme="minorHAnsi"/>
          <w:b/>
          <w:bCs/>
          <w:i/>
          <w:iCs/>
        </w:rPr>
        <w:t>appropriate accommodations for children with disabilities</w:t>
      </w:r>
      <w:r w:rsidRPr="00DA5613">
        <w:rPr>
          <w:rFonts w:asciiTheme="minorHAnsi" w:hAnsiTheme="minorHAnsi" w:cstheme="minorHAnsi"/>
        </w:rPr>
        <w:t xml:space="preserve"> with respect to health and safety policies,” among others.  </w:t>
      </w:r>
      <w:r w:rsidRPr="00DA5613">
        <w:rPr>
          <w:rFonts w:asciiTheme="minorHAnsi" w:hAnsiTheme="minorHAnsi" w:cstheme="minorHAnsi"/>
          <w:i/>
          <w:iCs/>
        </w:rPr>
        <w:t>Id</w:t>
      </w:r>
      <w:r w:rsidRPr="00DA5613">
        <w:rPr>
          <w:rFonts w:asciiTheme="minorHAnsi" w:hAnsiTheme="minorHAnsi" w:cstheme="minorHAnsi"/>
        </w:rPr>
        <w:t xml:space="preserve">. (emphasis added).  The interim requirements further provide that a local educational agency must ensure the interventions it implements will respond to the needs of all students, “and particularly those students disproportionately impacted by the COVID-19 pandemic, </w:t>
      </w:r>
      <w:r w:rsidRPr="00DA5613">
        <w:rPr>
          <w:rFonts w:asciiTheme="minorHAnsi" w:hAnsiTheme="minorHAnsi" w:cstheme="minorHAnsi"/>
          <w:b/>
          <w:bCs/>
          <w:i/>
          <w:iCs/>
        </w:rPr>
        <w:t>including … children with disabilities</w:t>
      </w:r>
      <w:r w:rsidRPr="00DA5613">
        <w:rPr>
          <w:rFonts w:asciiTheme="minorHAnsi" w:hAnsiTheme="minorHAnsi" w:cstheme="minorHAnsi"/>
        </w:rPr>
        <w:t xml:space="preserve">.” </w:t>
      </w:r>
      <w:r w:rsidR="003F50DD">
        <w:rPr>
          <w:rFonts w:asciiTheme="minorHAnsi" w:hAnsiTheme="minorHAnsi" w:cstheme="minorHAnsi"/>
        </w:rPr>
        <w:t xml:space="preserve"> </w:t>
      </w:r>
      <w:r w:rsidRPr="00DA5613">
        <w:rPr>
          <w:rFonts w:asciiTheme="minorHAnsi" w:hAnsiTheme="minorHAnsi" w:cstheme="minorHAnsi"/>
          <w:i/>
          <w:iCs/>
        </w:rPr>
        <w:t>Id</w:t>
      </w:r>
      <w:r w:rsidRPr="00DA5613">
        <w:rPr>
          <w:rFonts w:asciiTheme="minorHAnsi" w:hAnsiTheme="minorHAnsi" w:cstheme="minorHAnsi"/>
        </w:rPr>
        <w:t>. (emphasis added).</w:t>
      </w:r>
    </w:p>
    <w:p w14:paraId="20262190" w14:textId="71778174"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In sum, the </w:t>
      </w:r>
      <w:r w:rsidR="003F50DD">
        <w:rPr>
          <w:rFonts w:asciiTheme="minorHAnsi" w:hAnsiTheme="minorHAnsi" w:cstheme="minorHAnsi"/>
        </w:rPr>
        <w:t>Act</w:t>
      </w:r>
      <w:r w:rsidR="003F50DD" w:rsidRPr="00DA5613">
        <w:rPr>
          <w:rFonts w:asciiTheme="minorHAnsi" w:hAnsiTheme="minorHAnsi" w:cstheme="minorHAnsi"/>
        </w:rPr>
        <w:t xml:space="preserve"> </w:t>
      </w:r>
      <w:r w:rsidRPr="00DA5613">
        <w:rPr>
          <w:rFonts w:asciiTheme="minorHAnsi" w:hAnsiTheme="minorHAnsi" w:cstheme="minorHAnsi"/>
        </w:rPr>
        <w:t xml:space="preserve">does not require local schools to adopt CDC guidance on universal masking, but it does require them to explain how and to what extent they are using </w:t>
      </w:r>
      <w:r w:rsidR="003F50DD">
        <w:rPr>
          <w:rFonts w:asciiTheme="minorHAnsi" w:hAnsiTheme="minorHAnsi" w:cstheme="minorHAnsi"/>
        </w:rPr>
        <w:t>the Act’s</w:t>
      </w:r>
      <w:r w:rsidR="003F50DD" w:rsidRPr="00DA5613">
        <w:rPr>
          <w:rFonts w:asciiTheme="minorHAnsi" w:hAnsiTheme="minorHAnsi" w:cstheme="minorHAnsi"/>
        </w:rPr>
        <w:t xml:space="preserve"> </w:t>
      </w:r>
      <w:r w:rsidRPr="00DA5613">
        <w:rPr>
          <w:rFonts w:asciiTheme="minorHAnsi" w:hAnsiTheme="minorHAnsi" w:cstheme="minorHAnsi"/>
        </w:rPr>
        <w:t xml:space="preserve">funding to adopt key COVID “prevention and mitigation strategies,” both with regard to universal masking and with regard to the particular health and safety needs of children with disabilities.  This is consistent with the </w:t>
      </w:r>
      <w:r w:rsidR="003F50DD">
        <w:rPr>
          <w:rFonts w:asciiTheme="minorHAnsi" w:hAnsiTheme="minorHAnsi" w:cstheme="minorHAnsi"/>
        </w:rPr>
        <w:t>Act’s</w:t>
      </w:r>
      <w:r w:rsidR="003F50DD" w:rsidRPr="00DA5613">
        <w:rPr>
          <w:rFonts w:asciiTheme="minorHAnsi" w:hAnsiTheme="minorHAnsi" w:cstheme="minorHAnsi"/>
        </w:rPr>
        <w:t xml:space="preserve"> </w:t>
      </w:r>
      <w:r w:rsidRPr="00DA5613">
        <w:rPr>
          <w:rFonts w:asciiTheme="minorHAnsi" w:hAnsiTheme="minorHAnsi" w:cstheme="minorHAnsi"/>
        </w:rPr>
        <w:t xml:space="preserve">overall purpose of promoting </w:t>
      </w:r>
      <w:r w:rsidRPr="00DA5613">
        <w:rPr>
          <w:rFonts w:asciiTheme="minorHAnsi" w:hAnsiTheme="minorHAnsi" w:cstheme="minorHAnsi"/>
          <w:b/>
          <w:bCs/>
          <w:i/>
          <w:iCs/>
        </w:rPr>
        <w:t>safe</w:t>
      </w:r>
      <w:r w:rsidRPr="00DA5613">
        <w:rPr>
          <w:rFonts w:asciiTheme="minorHAnsi" w:hAnsiTheme="minorHAnsi" w:cstheme="minorHAnsi"/>
        </w:rPr>
        <w:t xml:space="preserve"> return to in-person instruction, while allowing local school districts the discretion to decide for themselves how that goal can best be achieved given different local circumstances.</w:t>
      </w:r>
    </w:p>
    <w:p w14:paraId="71E24E9A" w14:textId="10AE2412" w:rsidR="004130C6" w:rsidRPr="00DA5613" w:rsidRDefault="004130C6" w:rsidP="007426E5">
      <w:pPr>
        <w:pStyle w:val="pleadingtls4"/>
      </w:pPr>
      <w:bookmarkStart w:id="170" w:name="_Toc83814478"/>
      <w:bookmarkStart w:id="171" w:name="_Toc83846194"/>
      <w:r w:rsidRPr="00DA5613">
        <w:t xml:space="preserve">By barring local school districts from adopting mask requirements, GA-38 and TEA’s Guidance are in direct conflict with the </w:t>
      </w:r>
      <w:r w:rsidR="00FF06FE">
        <w:t>Act</w:t>
      </w:r>
      <w:r w:rsidRPr="00DA5613">
        <w:t>.</w:t>
      </w:r>
      <w:bookmarkEnd w:id="170"/>
      <w:bookmarkEnd w:id="171"/>
    </w:p>
    <w:p w14:paraId="0003E13B" w14:textId="5E5D9867"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As explained above, the </w:t>
      </w:r>
      <w:r w:rsidR="003F50DD">
        <w:rPr>
          <w:rFonts w:asciiTheme="minorHAnsi" w:hAnsiTheme="minorHAnsi" w:cstheme="minorHAnsi"/>
        </w:rPr>
        <w:t>Act</w:t>
      </w:r>
      <w:r w:rsidR="003F50DD" w:rsidRPr="00DA5613">
        <w:rPr>
          <w:rFonts w:asciiTheme="minorHAnsi" w:hAnsiTheme="minorHAnsi" w:cstheme="minorHAnsi"/>
        </w:rPr>
        <w:t xml:space="preserve"> </w:t>
      </w:r>
      <w:r w:rsidRPr="00DA5613">
        <w:rPr>
          <w:rFonts w:asciiTheme="minorHAnsi" w:hAnsiTheme="minorHAnsi" w:cstheme="minorHAnsi"/>
        </w:rPr>
        <w:t xml:space="preserve">expressly gives local school districts discretion in determining how best to use their allocations of funding to achieve the overriding goal of safe return to in-person instruction, allowing local schools to adopt a variety of COVID mitigation and prevention strategies that specifically include the option of implementing mask requirements.  Because GA-38 and TEA’s Public Health Guidance expressly prohibit local schools from implementing any mask requirements, they are in direct conflict with the </w:t>
      </w:r>
      <w:r w:rsidR="003F50DD">
        <w:rPr>
          <w:rFonts w:asciiTheme="minorHAnsi" w:hAnsiTheme="minorHAnsi" w:cstheme="minorHAnsi"/>
        </w:rPr>
        <w:t>Act</w:t>
      </w:r>
      <w:r w:rsidR="003F50DD" w:rsidRPr="00DA5613">
        <w:rPr>
          <w:rFonts w:asciiTheme="minorHAnsi" w:hAnsiTheme="minorHAnsi" w:cstheme="minorHAnsi"/>
        </w:rPr>
        <w:t xml:space="preserve"> </w:t>
      </w:r>
      <w:r w:rsidRPr="00DA5613">
        <w:rPr>
          <w:rFonts w:asciiTheme="minorHAnsi" w:hAnsiTheme="minorHAnsi" w:cstheme="minorHAnsi"/>
        </w:rPr>
        <w:t xml:space="preserve">because they “stand[] as an obstacle to the accomplishment and execution of the full purposes and objectives of Congress.”  </w:t>
      </w:r>
      <w:r w:rsidRPr="00DA5613">
        <w:rPr>
          <w:rFonts w:asciiTheme="minorHAnsi" w:hAnsiTheme="minorHAnsi" w:cstheme="minorHAnsi"/>
          <w:i/>
          <w:iCs/>
        </w:rPr>
        <w:t>See</w:t>
      </w:r>
      <w:r w:rsidRPr="00DA5613">
        <w:rPr>
          <w:rFonts w:asciiTheme="minorHAnsi" w:hAnsiTheme="minorHAnsi" w:cstheme="minorHAnsi"/>
        </w:rPr>
        <w:t xml:space="preserve"> </w:t>
      </w:r>
      <w:r w:rsidRPr="00DA5613">
        <w:rPr>
          <w:rFonts w:asciiTheme="minorHAnsi" w:hAnsiTheme="minorHAnsi" w:cstheme="minorHAnsi"/>
          <w:i/>
          <w:iCs/>
        </w:rPr>
        <w:t>Pac. Gas &amp; Elec. Co.</w:t>
      </w:r>
      <w:r w:rsidRPr="00DA5613">
        <w:rPr>
          <w:rFonts w:asciiTheme="minorHAnsi" w:hAnsiTheme="minorHAnsi" w:cstheme="minorHAnsi"/>
        </w:rPr>
        <w:t>, 461 U.S. at 204.</w:t>
      </w:r>
    </w:p>
    <w:p w14:paraId="2FE44DFB" w14:textId="403AEEE6"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It is well settled that when a federal funding statute expressly gives local authorities discretion over how to spend federal money, a state law that purports to restrict that discretion is preempted.  </w:t>
      </w:r>
      <w:r w:rsidRPr="00DA5613">
        <w:rPr>
          <w:rFonts w:asciiTheme="minorHAnsi" w:hAnsiTheme="minorHAnsi" w:cstheme="minorHAnsi"/>
          <w:i/>
          <w:iCs/>
        </w:rPr>
        <w:t>See</w:t>
      </w:r>
      <w:r w:rsidRPr="00DA5613">
        <w:rPr>
          <w:rFonts w:asciiTheme="minorHAnsi" w:hAnsiTheme="minorHAnsi" w:cstheme="minorHAnsi"/>
        </w:rPr>
        <w:t xml:space="preserve"> </w:t>
      </w:r>
      <w:r w:rsidRPr="00DA5613">
        <w:rPr>
          <w:rFonts w:asciiTheme="minorHAnsi" w:hAnsiTheme="minorHAnsi" w:cstheme="minorHAnsi"/>
          <w:i/>
          <w:iCs/>
        </w:rPr>
        <w:t>Lawrence County v. Lead-Deadwood School Dist.</w:t>
      </w:r>
      <w:r w:rsidRPr="00DA5613">
        <w:rPr>
          <w:rFonts w:asciiTheme="minorHAnsi" w:hAnsiTheme="minorHAnsi" w:cstheme="minorHAnsi"/>
        </w:rPr>
        <w:t xml:space="preserve">, 469 U.S. 256, 260–61 (1984) (holding that a state law restricting how counties could use federal “payment in lieu of taxes” money for federal properties located within counties’ borders was preempted, where federal statute and implementing regulation expressly gave discretion to counties).  The same rule applies here, given the clear intention of Congress and the Department of Education that local school districts receiving </w:t>
      </w:r>
      <w:r w:rsidR="003F50DD">
        <w:rPr>
          <w:rFonts w:asciiTheme="minorHAnsi" w:hAnsiTheme="minorHAnsi" w:cstheme="minorHAnsi"/>
        </w:rPr>
        <w:t>the Act’s</w:t>
      </w:r>
      <w:r w:rsidR="003F50DD" w:rsidRPr="00DA5613">
        <w:rPr>
          <w:rFonts w:asciiTheme="minorHAnsi" w:hAnsiTheme="minorHAnsi" w:cstheme="minorHAnsi"/>
        </w:rPr>
        <w:t xml:space="preserve"> </w:t>
      </w:r>
      <w:r w:rsidRPr="00DA5613">
        <w:rPr>
          <w:rFonts w:asciiTheme="minorHAnsi" w:hAnsiTheme="minorHAnsi" w:cstheme="minorHAnsi"/>
        </w:rPr>
        <w:t xml:space="preserve">funding have the discretion to decide for themselves which policies, including mask requirements, would best serve the </w:t>
      </w:r>
      <w:r w:rsidR="003F50DD">
        <w:rPr>
          <w:rFonts w:asciiTheme="minorHAnsi" w:hAnsiTheme="minorHAnsi" w:cstheme="minorHAnsi"/>
        </w:rPr>
        <w:t>Act’s</w:t>
      </w:r>
      <w:r w:rsidR="003F50DD" w:rsidRPr="00DA5613">
        <w:rPr>
          <w:rFonts w:asciiTheme="minorHAnsi" w:hAnsiTheme="minorHAnsi" w:cstheme="minorHAnsi"/>
        </w:rPr>
        <w:t xml:space="preserve"> </w:t>
      </w:r>
      <w:r w:rsidRPr="00DA5613">
        <w:rPr>
          <w:rFonts w:asciiTheme="minorHAnsi" w:hAnsiTheme="minorHAnsi" w:cstheme="minorHAnsi"/>
        </w:rPr>
        <w:t>overriding goal of achieving a safe return to in-person instruction.  Congress’</w:t>
      </w:r>
      <w:r w:rsidR="003F50DD">
        <w:rPr>
          <w:rFonts w:asciiTheme="minorHAnsi" w:hAnsiTheme="minorHAnsi" w:cstheme="minorHAnsi"/>
        </w:rPr>
        <w:t>s</w:t>
      </w:r>
      <w:r w:rsidRPr="00DA5613">
        <w:rPr>
          <w:rFonts w:asciiTheme="minorHAnsi" w:hAnsiTheme="minorHAnsi" w:cstheme="minorHAnsi"/>
        </w:rPr>
        <w:t xml:space="preserve"> choice to vest that discretion with local school districts rather than state governments is a valid exercise of Congress’</w:t>
      </w:r>
      <w:r w:rsidR="003F50DD">
        <w:rPr>
          <w:rFonts w:asciiTheme="minorHAnsi" w:hAnsiTheme="minorHAnsi" w:cstheme="minorHAnsi"/>
        </w:rPr>
        <w:t>s</w:t>
      </w:r>
      <w:r w:rsidRPr="00DA5613">
        <w:rPr>
          <w:rFonts w:asciiTheme="minorHAnsi" w:hAnsiTheme="minorHAnsi" w:cstheme="minorHAnsi"/>
        </w:rPr>
        <w:t xml:space="preserve"> power under the Spending Clause to impose conditions on the receipt of federal funds, and thus does not raise federalism concerns.  </w:t>
      </w:r>
      <w:r w:rsidRPr="00DA5613">
        <w:rPr>
          <w:rFonts w:asciiTheme="minorHAnsi" w:hAnsiTheme="minorHAnsi" w:cstheme="minorHAnsi"/>
          <w:i/>
          <w:iCs/>
        </w:rPr>
        <w:t>Lawrence County</w:t>
      </w:r>
      <w:r w:rsidRPr="00DA5613">
        <w:rPr>
          <w:rFonts w:asciiTheme="minorHAnsi" w:hAnsiTheme="minorHAnsi" w:cstheme="minorHAnsi"/>
        </w:rPr>
        <w:t>, 469 U.S. at 269–70.</w:t>
      </w:r>
    </w:p>
    <w:p w14:paraId="64905CD7" w14:textId="2FEBC286" w:rsidR="004130C6" w:rsidRPr="00DA5613" w:rsidRDefault="004130C6" w:rsidP="00DE6B57">
      <w:pPr>
        <w:spacing w:line="480" w:lineRule="auto"/>
        <w:ind w:firstLine="720"/>
        <w:rPr>
          <w:rFonts w:asciiTheme="minorHAnsi" w:hAnsiTheme="minorHAnsi" w:cstheme="minorHAnsi"/>
        </w:rPr>
      </w:pPr>
      <w:r w:rsidRPr="00DA5613">
        <w:rPr>
          <w:rFonts w:asciiTheme="minorHAnsi" w:hAnsiTheme="minorHAnsi" w:cstheme="minorHAnsi"/>
        </w:rPr>
        <w:t xml:space="preserve">Because GA-38 and the TEA Guidance impermissibly interfere with the local discretion expressly allowed by the </w:t>
      </w:r>
      <w:r w:rsidR="003F50DD">
        <w:rPr>
          <w:rFonts w:asciiTheme="minorHAnsi" w:hAnsiTheme="minorHAnsi" w:cstheme="minorHAnsi"/>
        </w:rPr>
        <w:t>Act</w:t>
      </w:r>
      <w:r w:rsidRPr="00DA5613">
        <w:rPr>
          <w:rFonts w:asciiTheme="minorHAnsi" w:hAnsiTheme="minorHAnsi" w:cstheme="minorHAnsi"/>
        </w:rPr>
        <w:t xml:space="preserve">, they are preempted as contrary to federal law and “must yield” under the Supremacy Clause.  </w:t>
      </w:r>
      <w:r w:rsidRPr="00DA5613">
        <w:rPr>
          <w:rFonts w:asciiTheme="minorHAnsi" w:hAnsiTheme="minorHAnsi" w:cstheme="minorHAnsi"/>
          <w:i/>
          <w:iCs/>
        </w:rPr>
        <w:t>See Felder</w:t>
      </w:r>
      <w:r w:rsidRPr="00DA5613">
        <w:rPr>
          <w:rFonts w:asciiTheme="minorHAnsi" w:hAnsiTheme="minorHAnsi" w:cstheme="minorHAnsi"/>
        </w:rPr>
        <w:t xml:space="preserve">, 487 U.S. at 138; </w:t>
      </w:r>
      <w:r w:rsidRPr="00DA5613">
        <w:rPr>
          <w:rFonts w:asciiTheme="minorHAnsi" w:hAnsiTheme="minorHAnsi" w:cstheme="minorHAnsi"/>
          <w:i/>
          <w:iCs/>
        </w:rPr>
        <w:t>Pac. Gas &amp; Elec. Co.</w:t>
      </w:r>
      <w:r w:rsidRPr="00DA5613">
        <w:rPr>
          <w:rFonts w:asciiTheme="minorHAnsi" w:hAnsiTheme="minorHAnsi" w:cstheme="minorHAnsi"/>
        </w:rPr>
        <w:t>, 461 U.S. at 204.</w:t>
      </w:r>
    </w:p>
    <w:p w14:paraId="114696C9" w14:textId="45A3C948" w:rsidR="004130C6" w:rsidRPr="00DA5613" w:rsidRDefault="003F50DD" w:rsidP="007426E5">
      <w:pPr>
        <w:pStyle w:val="pleadingtls4"/>
      </w:pPr>
      <w:bookmarkStart w:id="172" w:name="_Toc83814479"/>
      <w:bookmarkStart w:id="173" w:name="_Toc83846195"/>
      <w:r>
        <w:t>Th</w:t>
      </w:r>
      <w:r w:rsidR="006C7A72">
        <w:t xml:space="preserve">e Rescue Act </w:t>
      </w:r>
      <w:r w:rsidR="004130C6" w:rsidRPr="00DA5613">
        <w:t>preemption claim arises under the Court’s well-established equitable power to enjoin unlawful actions by state officials.</w:t>
      </w:r>
      <w:bookmarkEnd w:id="172"/>
      <w:bookmarkEnd w:id="173"/>
    </w:p>
    <w:p w14:paraId="6EE6A892" w14:textId="376DAB65"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Plaintiffs’ claim for preemption under the </w:t>
      </w:r>
      <w:r w:rsidR="006C7A72">
        <w:rPr>
          <w:rFonts w:asciiTheme="minorHAnsi" w:hAnsiTheme="minorHAnsi" w:cstheme="minorHAnsi"/>
        </w:rPr>
        <w:t xml:space="preserve">Rescue </w:t>
      </w:r>
      <w:r w:rsidRPr="00DA5613">
        <w:rPr>
          <w:rFonts w:asciiTheme="minorHAnsi" w:hAnsiTheme="minorHAnsi" w:cstheme="minorHAnsi"/>
        </w:rPr>
        <w:t>Act is properly before this Court</w:t>
      </w:r>
      <w:r w:rsidR="003F50DD">
        <w:rPr>
          <w:rFonts w:asciiTheme="minorHAnsi" w:hAnsiTheme="minorHAnsi" w:cstheme="minorHAnsi"/>
        </w:rPr>
        <w:t>,</w:t>
      </w:r>
      <w:r w:rsidRPr="00DA5613">
        <w:rPr>
          <w:rFonts w:asciiTheme="minorHAnsi" w:hAnsiTheme="minorHAnsi" w:cstheme="minorHAnsi"/>
        </w:rPr>
        <w:t xml:space="preserve"> not because of any private right of action under that statute, but instead based on the well-established and longstanding equitable power of the Court to enjoin unlawful actions by state officials.  </w:t>
      </w:r>
      <w:r w:rsidRPr="00DA5613">
        <w:rPr>
          <w:rFonts w:asciiTheme="minorHAnsi" w:hAnsiTheme="minorHAnsi" w:cstheme="minorHAnsi"/>
          <w:i/>
          <w:iCs/>
        </w:rPr>
        <w:t>See Armstrong v. Exceptional Child Center, Inc.</w:t>
      </w:r>
      <w:r w:rsidRPr="00DA5613">
        <w:rPr>
          <w:rFonts w:asciiTheme="minorHAnsi" w:hAnsiTheme="minorHAnsi" w:cstheme="minorHAnsi"/>
        </w:rPr>
        <w:t xml:space="preserve">, 575 U.S. 320, 327 (2015) (“[W]e have long held that federal courts may in some circumstances grant injunctive relief against state officers who are violating, or planning to violate, federal law.”); </w:t>
      </w:r>
      <w:r w:rsidRPr="00DA5613">
        <w:rPr>
          <w:rFonts w:asciiTheme="minorHAnsi" w:hAnsiTheme="minorHAnsi" w:cstheme="minorHAnsi"/>
          <w:i/>
          <w:iCs/>
        </w:rPr>
        <w:t>Ex parte Young</w:t>
      </w:r>
      <w:r w:rsidRPr="00DA5613">
        <w:rPr>
          <w:rFonts w:asciiTheme="minorHAnsi" w:hAnsiTheme="minorHAnsi" w:cstheme="minorHAnsi"/>
        </w:rPr>
        <w:t>, 209 U.S. 123, 150–51 (1908).</w:t>
      </w:r>
    </w:p>
    <w:p w14:paraId="21DDD17E" w14:textId="51F95084"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Unless the federal statute expressly or impliedly precludes such jurisdiction</w:t>
      </w:r>
      <w:r w:rsidRPr="00DA5613">
        <w:rPr>
          <w:rFonts w:asciiTheme="minorHAnsi" w:hAnsiTheme="minorHAnsi" w:cstheme="minorHAnsi"/>
          <w:vertAlign w:val="superscript"/>
        </w:rPr>
        <w:footnoteReference w:id="108"/>
      </w:r>
      <w:r w:rsidRPr="00DA5613">
        <w:rPr>
          <w:rFonts w:asciiTheme="minorHAnsi" w:hAnsiTheme="minorHAnsi" w:cstheme="minorHAnsi"/>
        </w:rPr>
        <w:t xml:space="preserve"> (</w:t>
      </w:r>
      <w:r w:rsidR="006C7A72">
        <w:rPr>
          <w:rFonts w:asciiTheme="minorHAnsi" w:hAnsiTheme="minorHAnsi" w:cstheme="minorHAnsi"/>
        </w:rPr>
        <w:t>and</w:t>
      </w:r>
      <w:r w:rsidR="006C7A72" w:rsidRPr="00DA5613">
        <w:rPr>
          <w:rFonts w:asciiTheme="minorHAnsi" w:hAnsiTheme="minorHAnsi" w:cstheme="minorHAnsi"/>
        </w:rPr>
        <w:t xml:space="preserve"> </w:t>
      </w:r>
      <w:r w:rsidRPr="00DA5613">
        <w:rPr>
          <w:rFonts w:asciiTheme="minorHAnsi" w:hAnsiTheme="minorHAnsi" w:cstheme="minorHAnsi"/>
        </w:rPr>
        <w:t xml:space="preserve">the </w:t>
      </w:r>
      <w:r w:rsidR="006C7A72">
        <w:rPr>
          <w:rFonts w:asciiTheme="minorHAnsi" w:hAnsiTheme="minorHAnsi" w:cstheme="minorHAnsi"/>
        </w:rPr>
        <w:t xml:space="preserve">Rescue </w:t>
      </w:r>
      <w:r w:rsidRPr="00DA5613">
        <w:rPr>
          <w:rFonts w:asciiTheme="minorHAnsi" w:hAnsiTheme="minorHAnsi" w:cstheme="minorHAnsi"/>
        </w:rPr>
        <w:t>Act does not, for the reasons discussed below), a claim that a state law is preempted by a federal statute gives rise to federal-question jurisdiction in this Court.  “A plaintiff who seeks injunctive relief from state regulation, on the ground that such regulation is pre-empted by a federal statute which, by virtue of the Supremacy Clause of the Constitution, must prevail, thus presents a federal question which the federal courts have jurisdiction under 28 U. S. C. § 1331 to resolve</w:t>
      </w:r>
      <w:r w:rsidRPr="00DA5613">
        <w:rPr>
          <w:rFonts w:asciiTheme="minorHAnsi" w:hAnsiTheme="minorHAnsi" w:cstheme="minorHAnsi"/>
          <w:i/>
          <w:iCs/>
        </w:rPr>
        <w:t>.”  Shaw v. Delta Air Lines, Inc.</w:t>
      </w:r>
      <w:r w:rsidRPr="00DA5613">
        <w:rPr>
          <w:rFonts w:asciiTheme="minorHAnsi" w:hAnsiTheme="minorHAnsi" w:cstheme="minorHAnsi"/>
        </w:rPr>
        <w:t xml:space="preserve">, 463 U.S. 85, 96, n. 14 (1983).  Plaintiffs’ </w:t>
      </w:r>
      <w:r w:rsidR="003F50DD">
        <w:rPr>
          <w:rFonts w:asciiTheme="minorHAnsi" w:hAnsiTheme="minorHAnsi" w:cstheme="minorHAnsi"/>
        </w:rPr>
        <w:t>Rescue Act</w:t>
      </w:r>
      <w:r w:rsidR="003F50DD" w:rsidRPr="00DA5613">
        <w:rPr>
          <w:rFonts w:asciiTheme="minorHAnsi" w:hAnsiTheme="minorHAnsi" w:cstheme="minorHAnsi"/>
        </w:rPr>
        <w:t xml:space="preserve"> </w:t>
      </w:r>
      <w:r w:rsidRPr="00DA5613">
        <w:rPr>
          <w:rFonts w:asciiTheme="minorHAnsi" w:hAnsiTheme="minorHAnsi" w:cstheme="minorHAnsi"/>
        </w:rPr>
        <w:t xml:space="preserve">preemption claim thus falls within this Court’s jurisdiction under § 1331, and nothing in the language of the Act purports to remove that jurisdiction.  </w:t>
      </w:r>
      <w:r w:rsidRPr="00DA5613">
        <w:rPr>
          <w:rFonts w:asciiTheme="minorHAnsi" w:hAnsiTheme="minorHAnsi" w:cstheme="minorHAnsi"/>
          <w:i/>
          <w:iCs/>
        </w:rPr>
        <w:t>See Verizon Md., Inc. v. Public Serv. Comm’n of Md.,</w:t>
      </w:r>
      <w:r w:rsidRPr="00DA5613">
        <w:rPr>
          <w:rFonts w:asciiTheme="minorHAnsi" w:hAnsiTheme="minorHAnsi" w:cstheme="minorHAnsi"/>
        </w:rPr>
        <w:t xml:space="preserve"> 535 U.S. 635, 643 (2002) (holding that telecommunications carrier could assert preemption claim under court’s equitable power, where nothing in federal Telecommunications Act purported to bar or restrict such claims).</w:t>
      </w:r>
    </w:p>
    <w:p w14:paraId="55BA8A57" w14:textId="0841EE21"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As recently explained by the Supreme Court in </w:t>
      </w:r>
      <w:r w:rsidRPr="00DA5613">
        <w:rPr>
          <w:rFonts w:asciiTheme="minorHAnsi" w:hAnsiTheme="minorHAnsi" w:cstheme="minorHAnsi"/>
          <w:i/>
          <w:iCs/>
        </w:rPr>
        <w:t>Armstrong</w:t>
      </w:r>
      <w:r w:rsidRPr="00DA5613">
        <w:rPr>
          <w:rFonts w:asciiTheme="minorHAnsi" w:hAnsiTheme="minorHAnsi" w:cstheme="minorHAnsi"/>
        </w:rPr>
        <w:t xml:space="preserve">, federal courts have the equitable power to hear and resolve preemption claims asserted by private plaintiffs </w:t>
      </w:r>
      <w:r w:rsidRPr="00DA5613">
        <w:rPr>
          <w:rFonts w:asciiTheme="minorHAnsi" w:hAnsiTheme="minorHAnsi" w:cstheme="minorHAnsi"/>
          <w:b/>
          <w:bCs/>
          <w:i/>
          <w:iCs/>
        </w:rPr>
        <w:t>unless</w:t>
      </w:r>
      <w:r w:rsidRPr="00DA5613">
        <w:rPr>
          <w:rFonts w:asciiTheme="minorHAnsi" w:hAnsiTheme="minorHAnsi" w:cstheme="minorHAnsi"/>
        </w:rPr>
        <w:t xml:space="preserve"> the federal statute at issue shows either expressly or by implication that Congress intended to preclude such private enforcement actions.  575 U.S. at 327–28.</w:t>
      </w:r>
      <w:r w:rsidRPr="00DA5613">
        <w:rPr>
          <w:rFonts w:asciiTheme="minorHAnsi" w:hAnsiTheme="minorHAnsi" w:cstheme="minorHAnsi"/>
          <w:vertAlign w:val="superscript"/>
        </w:rPr>
        <w:footnoteReference w:id="109"/>
      </w:r>
      <w:r w:rsidRPr="00DA5613">
        <w:rPr>
          <w:rFonts w:asciiTheme="minorHAnsi" w:hAnsiTheme="minorHAnsi" w:cstheme="minorHAnsi"/>
        </w:rPr>
        <w:t xml:space="preserve">  Unlike the statute at issue in </w:t>
      </w:r>
      <w:r w:rsidRPr="00DA5613">
        <w:rPr>
          <w:rFonts w:asciiTheme="minorHAnsi" w:hAnsiTheme="minorHAnsi" w:cstheme="minorHAnsi"/>
          <w:i/>
          <w:iCs/>
        </w:rPr>
        <w:t>Armstrong</w:t>
      </w:r>
      <w:r w:rsidRPr="00DA5613">
        <w:rPr>
          <w:rFonts w:asciiTheme="minorHAnsi" w:hAnsiTheme="minorHAnsi" w:cstheme="minorHAnsi"/>
        </w:rPr>
        <w:t xml:space="preserve">, the </w:t>
      </w:r>
      <w:r w:rsidR="003F50DD">
        <w:rPr>
          <w:rFonts w:asciiTheme="minorHAnsi" w:hAnsiTheme="minorHAnsi" w:cstheme="minorHAnsi"/>
        </w:rPr>
        <w:t xml:space="preserve">Rescue </w:t>
      </w:r>
      <w:r w:rsidRPr="00DA5613">
        <w:rPr>
          <w:rFonts w:asciiTheme="minorHAnsi" w:hAnsiTheme="minorHAnsi" w:cstheme="minorHAnsi"/>
        </w:rPr>
        <w:t xml:space="preserve">Act “does not display any intent to foreclose [such] jurisdiction.”  </w:t>
      </w:r>
      <w:r w:rsidRPr="00DA5613">
        <w:rPr>
          <w:rFonts w:asciiTheme="minorHAnsi" w:hAnsiTheme="minorHAnsi" w:cstheme="minorHAnsi"/>
          <w:i/>
          <w:iCs/>
        </w:rPr>
        <w:t>See Verizon Md., Inc. v. Public Serv. Comm’n of Md.,</w:t>
      </w:r>
      <w:r w:rsidRPr="00DA5613">
        <w:rPr>
          <w:rFonts w:asciiTheme="minorHAnsi" w:hAnsiTheme="minorHAnsi" w:cstheme="minorHAnsi"/>
        </w:rPr>
        <w:t xml:space="preserve"> 535 U.S. 635, 647 (2002).  In </w:t>
      </w:r>
      <w:r w:rsidRPr="00DA5613">
        <w:rPr>
          <w:rFonts w:asciiTheme="minorHAnsi" w:hAnsiTheme="minorHAnsi" w:cstheme="minorHAnsi"/>
          <w:i/>
          <w:iCs/>
        </w:rPr>
        <w:t>Armstrong</w:t>
      </w:r>
      <w:r w:rsidRPr="00DA5613">
        <w:rPr>
          <w:rFonts w:asciiTheme="minorHAnsi" w:hAnsiTheme="minorHAnsi" w:cstheme="minorHAnsi"/>
        </w:rPr>
        <w:t xml:space="preserve">, the Supreme Court cited two reasons for concluding that private plaintiffs could not invoke a federal court’s equitable power to assert their claim that an Idaho Medicaid reimbursement formula was preempted by the federal Medicaid statute.  Neither of those reasons are applicable to the </w:t>
      </w:r>
      <w:r w:rsidR="006C7A72">
        <w:rPr>
          <w:rFonts w:asciiTheme="minorHAnsi" w:hAnsiTheme="minorHAnsi" w:cstheme="minorHAnsi"/>
        </w:rPr>
        <w:t>Rescue</w:t>
      </w:r>
      <w:r w:rsidR="006C7A72" w:rsidRPr="00DA5613">
        <w:rPr>
          <w:rFonts w:asciiTheme="minorHAnsi" w:hAnsiTheme="minorHAnsi" w:cstheme="minorHAnsi"/>
        </w:rPr>
        <w:t xml:space="preserve"> </w:t>
      </w:r>
      <w:r w:rsidRPr="00DA5613">
        <w:rPr>
          <w:rFonts w:asciiTheme="minorHAnsi" w:hAnsiTheme="minorHAnsi" w:cstheme="minorHAnsi"/>
        </w:rPr>
        <w:t>Act.</w:t>
      </w:r>
    </w:p>
    <w:p w14:paraId="705A14F4" w14:textId="7B0CA48D"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First, the Court noted that the Medicaid statute contained express provisions for administrative enforcement by the Secretary of Health and Human Services.  </w:t>
      </w:r>
      <w:r w:rsidRPr="00DA5613">
        <w:rPr>
          <w:rFonts w:asciiTheme="minorHAnsi" w:hAnsiTheme="minorHAnsi" w:cstheme="minorHAnsi"/>
          <w:i/>
          <w:iCs/>
        </w:rPr>
        <w:t>Armstrong</w:t>
      </w:r>
      <w:r w:rsidRPr="00DA5613">
        <w:rPr>
          <w:rFonts w:asciiTheme="minorHAnsi" w:hAnsiTheme="minorHAnsi" w:cstheme="minorHAnsi"/>
        </w:rPr>
        <w:t xml:space="preserve">, 575 U.S. at 328.  The Court took this express enforcement provision as suggesting Congress intended to preclude other means of enforcement.  </w:t>
      </w:r>
      <w:r w:rsidRPr="00DA5613">
        <w:rPr>
          <w:rFonts w:asciiTheme="minorHAnsi" w:hAnsiTheme="minorHAnsi" w:cstheme="minorHAnsi"/>
          <w:i/>
          <w:iCs/>
        </w:rPr>
        <w:t>Id.</w:t>
      </w:r>
      <w:r w:rsidRPr="00DA5613">
        <w:rPr>
          <w:rFonts w:asciiTheme="minorHAnsi" w:hAnsiTheme="minorHAnsi" w:cstheme="minorHAnsi"/>
        </w:rPr>
        <w:t xml:space="preserve">; </w:t>
      </w:r>
      <w:r w:rsidRPr="00DA5613">
        <w:rPr>
          <w:rFonts w:asciiTheme="minorHAnsi" w:hAnsiTheme="minorHAnsi" w:cstheme="minorHAnsi"/>
          <w:i/>
          <w:iCs/>
        </w:rPr>
        <w:t>see Sandoval</w:t>
      </w:r>
      <w:r w:rsidRPr="00DA5613">
        <w:rPr>
          <w:rFonts w:asciiTheme="minorHAnsi" w:hAnsiTheme="minorHAnsi" w:cstheme="minorHAnsi"/>
        </w:rPr>
        <w:t xml:space="preserve">, 532 U.S. at 290.  Here, by contrast, neither the </w:t>
      </w:r>
      <w:r w:rsidR="006C7A72">
        <w:rPr>
          <w:rFonts w:asciiTheme="minorHAnsi" w:hAnsiTheme="minorHAnsi" w:cstheme="minorHAnsi"/>
        </w:rPr>
        <w:t>Rescue</w:t>
      </w:r>
      <w:r w:rsidR="006C7A72" w:rsidRPr="00DA5613">
        <w:rPr>
          <w:rFonts w:asciiTheme="minorHAnsi" w:hAnsiTheme="minorHAnsi" w:cstheme="minorHAnsi"/>
        </w:rPr>
        <w:t xml:space="preserve"> </w:t>
      </w:r>
      <w:r w:rsidRPr="00DA5613">
        <w:rPr>
          <w:rFonts w:asciiTheme="minorHAnsi" w:hAnsiTheme="minorHAnsi" w:cstheme="minorHAnsi"/>
        </w:rPr>
        <w:t xml:space="preserve">Act nor the Department of Education’s interim final requirements say anything at all about how the </w:t>
      </w:r>
      <w:r w:rsidR="006C7A72">
        <w:rPr>
          <w:rFonts w:asciiTheme="minorHAnsi" w:hAnsiTheme="minorHAnsi" w:cstheme="minorHAnsi"/>
        </w:rPr>
        <w:t>Act’s</w:t>
      </w:r>
      <w:r w:rsidR="006C7A72" w:rsidRPr="00DA5613">
        <w:rPr>
          <w:rFonts w:asciiTheme="minorHAnsi" w:hAnsiTheme="minorHAnsi" w:cstheme="minorHAnsi"/>
        </w:rPr>
        <w:t xml:space="preserve"> </w:t>
      </w:r>
      <w:r w:rsidRPr="00DA5613">
        <w:rPr>
          <w:rFonts w:asciiTheme="minorHAnsi" w:hAnsiTheme="minorHAnsi" w:cstheme="minorHAnsi"/>
        </w:rPr>
        <w:t xml:space="preserve">provisions are to be enforced in the event that state officials impermissibly prevent local school districts from exercising the discretion Congress has given them to determine the best policies for ensuring a safe return to in-person instruction.  Given the absence of any statutory indication to the contrary, this Court has the equitable power to enjoin Defendants’ enforcement of GA-38 and the TEA Guidance insofar as they conflict with and stand as an obstacle to the </w:t>
      </w:r>
      <w:r w:rsidR="006C7A72">
        <w:rPr>
          <w:rFonts w:asciiTheme="minorHAnsi" w:hAnsiTheme="minorHAnsi" w:cstheme="minorHAnsi"/>
        </w:rPr>
        <w:t>c</w:t>
      </w:r>
      <w:r w:rsidRPr="00DA5613">
        <w:rPr>
          <w:rFonts w:asciiTheme="minorHAnsi" w:hAnsiTheme="minorHAnsi" w:cstheme="minorHAnsi"/>
        </w:rPr>
        <w:t>ongressional purpose behind the ARPA.</w:t>
      </w:r>
    </w:p>
    <w:p w14:paraId="4AE2BD51" w14:textId="53226286" w:rsidR="004130C6" w:rsidRPr="00DA5613" w:rsidRDefault="004130C6" w:rsidP="00DE6B57">
      <w:pPr>
        <w:spacing w:line="480" w:lineRule="auto"/>
        <w:rPr>
          <w:rFonts w:asciiTheme="minorHAnsi" w:hAnsiTheme="minorHAnsi" w:cstheme="minorHAnsi"/>
        </w:rPr>
      </w:pPr>
      <w:r w:rsidRPr="00DA5613">
        <w:rPr>
          <w:rFonts w:asciiTheme="minorHAnsi" w:hAnsiTheme="minorHAnsi" w:cstheme="minorHAnsi"/>
        </w:rPr>
        <w:tab/>
        <w:t xml:space="preserve">The second reason for the </w:t>
      </w:r>
      <w:r w:rsidRPr="00DA5613">
        <w:rPr>
          <w:rFonts w:asciiTheme="minorHAnsi" w:hAnsiTheme="minorHAnsi" w:cstheme="minorHAnsi"/>
          <w:i/>
          <w:iCs/>
        </w:rPr>
        <w:t xml:space="preserve">Armstrong </w:t>
      </w:r>
      <w:r w:rsidRPr="00DA5613">
        <w:rPr>
          <w:rFonts w:asciiTheme="minorHAnsi" w:hAnsiTheme="minorHAnsi" w:cstheme="minorHAnsi"/>
        </w:rPr>
        <w:t xml:space="preserve">Court’s ruling against private enforcement in that case is also not applicable here.  The </w:t>
      </w:r>
      <w:r w:rsidRPr="00DA5613">
        <w:rPr>
          <w:rFonts w:asciiTheme="minorHAnsi" w:hAnsiTheme="minorHAnsi" w:cstheme="minorHAnsi"/>
          <w:i/>
          <w:iCs/>
        </w:rPr>
        <w:t>Armstrong</w:t>
      </w:r>
      <w:r w:rsidRPr="00DA5613">
        <w:rPr>
          <w:rFonts w:asciiTheme="minorHAnsi" w:hAnsiTheme="minorHAnsi" w:cstheme="minorHAnsi"/>
        </w:rPr>
        <w:t xml:space="preserve"> plaintiffs had asked the district court to impose sweeping affirmative relief by ordering the state to raise its Medicare reimbursement rates according to a court-determined formula.  575 U.S. at 323–24.  But the Court concluded that because the “sheer complexity” of the rate-setting mandate under the Medicaid statute made it “judicially unadministrable,” Congress intended to preclude private enforcement actions in the courts and leave enforcement exclusively to the HHS Secretary.  </w:t>
      </w:r>
      <w:r w:rsidRPr="00DA5613">
        <w:rPr>
          <w:rFonts w:asciiTheme="minorHAnsi" w:hAnsiTheme="minorHAnsi" w:cstheme="minorHAnsi"/>
          <w:i/>
          <w:iCs/>
        </w:rPr>
        <w:t>Id.</w:t>
      </w:r>
      <w:r w:rsidRPr="00DA5613">
        <w:rPr>
          <w:rFonts w:asciiTheme="minorHAnsi" w:hAnsiTheme="minorHAnsi" w:cstheme="minorHAnsi"/>
        </w:rPr>
        <w:t xml:space="preserve"> at 328–29.  Here, by contrast, Plaintiffs are not seeking affirmative relief but instead are merely asking the Court to enjoin Defendants from taking specified enforcement actions against local school districts and school officials who disobey a state regulation that is invalid because it conflicts with federal law.  There is nothing complex or judicially unadministrable about this simple and long-established equitable remedy.</w:t>
      </w:r>
      <w:r w:rsidRPr="00DA5613">
        <w:rPr>
          <w:rFonts w:asciiTheme="minorHAnsi" w:hAnsiTheme="minorHAnsi" w:cstheme="minorHAnsi"/>
          <w:vertAlign w:val="superscript"/>
        </w:rPr>
        <w:footnoteReference w:id="110"/>
      </w:r>
      <w:r w:rsidRPr="00DA5613">
        <w:rPr>
          <w:rFonts w:asciiTheme="minorHAnsi" w:hAnsiTheme="minorHAnsi" w:cstheme="minorHAnsi"/>
        </w:rPr>
        <w:t xml:space="preserve">  Thus, the facts and circumstances of this case are distinguishable from </w:t>
      </w:r>
      <w:r w:rsidRPr="00DA5613">
        <w:rPr>
          <w:rFonts w:asciiTheme="minorHAnsi" w:hAnsiTheme="minorHAnsi" w:cstheme="minorHAnsi"/>
          <w:i/>
          <w:iCs/>
        </w:rPr>
        <w:t>Armstrong</w:t>
      </w:r>
      <w:r w:rsidRPr="00DA5613">
        <w:rPr>
          <w:rFonts w:asciiTheme="minorHAnsi" w:hAnsiTheme="minorHAnsi" w:cstheme="minorHAnsi"/>
        </w:rPr>
        <w:t xml:space="preserve"> and fully support this Court’s exercise of its equitable power to resolve Plaintiffs’ </w:t>
      </w:r>
      <w:r w:rsidR="006C7A72">
        <w:rPr>
          <w:rFonts w:asciiTheme="minorHAnsi" w:hAnsiTheme="minorHAnsi" w:cstheme="minorHAnsi"/>
        </w:rPr>
        <w:t>Rescue Act</w:t>
      </w:r>
      <w:r w:rsidR="006C7A72" w:rsidRPr="00DA5613">
        <w:rPr>
          <w:rFonts w:asciiTheme="minorHAnsi" w:hAnsiTheme="minorHAnsi" w:cstheme="minorHAnsi"/>
        </w:rPr>
        <w:t xml:space="preserve"> </w:t>
      </w:r>
      <w:r w:rsidRPr="00DA5613">
        <w:rPr>
          <w:rFonts w:asciiTheme="minorHAnsi" w:hAnsiTheme="minorHAnsi" w:cstheme="minorHAnsi"/>
        </w:rPr>
        <w:t>preemption claim.</w:t>
      </w:r>
    </w:p>
    <w:p w14:paraId="37615069" w14:textId="3607D348" w:rsidR="00DA5613" w:rsidRPr="00DA5613" w:rsidRDefault="00DA5613" w:rsidP="007426E5">
      <w:pPr>
        <w:pStyle w:val="pleadingtls3"/>
      </w:pPr>
      <w:bookmarkStart w:id="174" w:name="_Toc83814480"/>
      <w:bookmarkStart w:id="175" w:name="_Toc83846196"/>
      <w:bookmarkStart w:id="176" w:name="_Hlk83824402"/>
      <w:r w:rsidRPr="00DA5613">
        <w:t xml:space="preserve">An </w:t>
      </w:r>
      <w:r w:rsidR="00254359">
        <w:t>i</w:t>
      </w:r>
      <w:r w:rsidRPr="00DA5613">
        <w:t xml:space="preserve">njunction </w:t>
      </w:r>
      <w:r w:rsidR="00254359">
        <w:t>i</w:t>
      </w:r>
      <w:r w:rsidRPr="00DA5613">
        <w:t xml:space="preserve">s </w:t>
      </w:r>
      <w:r w:rsidR="00254359">
        <w:t>n</w:t>
      </w:r>
      <w:r w:rsidRPr="00DA5613">
        <w:t xml:space="preserve">ecessary to </w:t>
      </w:r>
      <w:r w:rsidR="00254359">
        <w:t>p</w:t>
      </w:r>
      <w:r w:rsidRPr="00DA5613">
        <w:t xml:space="preserve">rotect Plaintiffs from </w:t>
      </w:r>
      <w:r w:rsidR="00254359">
        <w:t>f</w:t>
      </w:r>
      <w:r w:rsidRPr="00DA5613">
        <w:t xml:space="preserve">urther </w:t>
      </w:r>
      <w:r w:rsidR="00254359">
        <w:t>h</w:t>
      </w:r>
      <w:r w:rsidRPr="00DA5613">
        <w:t>arm</w:t>
      </w:r>
      <w:r>
        <w:t xml:space="preserve"> and </w:t>
      </w:r>
      <w:r w:rsidR="00254359">
        <w:t>i</w:t>
      </w:r>
      <w:r>
        <w:t xml:space="preserve">s in the </w:t>
      </w:r>
      <w:r w:rsidR="00254359">
        <w:t>p</w:t>
      </w:r>
      <w:r>
        <w:t xml:space="preserve">ublic </w:t>
      </w:r>
      <w:r w:rsidR="00254359">
        <w:t>i</w:t>
      </w:r>
      <w:r>
        <w:t>nterest</w:t>
      </w:r>
      <w:r w:rsidR="00254359">
        <w:t>.</w:t>
      </w:r>
      <w:bookmarkEnd w:id="174"/>
      <w:bookmarkEnd w:id="175"/>
    </w:p>
    <w:p w14:paraId="15D4634E" w14:textId="5ADA70A2" w:rsidR="00DA5613" w:rsidRPr="00DA5613" w:rsidRDefault="00DA5613" w:rsidP="00DE6B57">
      <w:pPr>
        <w:spacing w:line="480" w:lineRule="auto"/>
        <w:ind w:firstLine="720"/>
        <w:rPr>
          <w:rFonts w:asciiTheme="minorHAnsi" w:hAnsiTheme="minorHAnsi" w:cstheme="minorHAnsi"/>
        </w:rPr>
      </w:pPr>
      <w:r w:rsidRPr="00DA5613">
        <w:rPr>
          <w:rFonts w:asciiTheme="minorHAnsi" w:hAnsiTheme="minorHAnsi" w:cstheme="minorHAnsi"/>
        </w:rPr>
        <w:t>As GA-38 violates and is preempted by federal law, the Could should enjoin Defendants and their agents from enforcing or giving any effect to the provisions of GA-38 prohibiting public schools or school district from requiring masks for their students, staff</w:t>
      </w:r>
      <w:r w:rsidR="00254359">
        <w:rPr>
          <w:rFonts w:asciiTheme="minorHAnsi" w:hAnsiTheme="minorHAnsi" w:cstheme="minorHAnsi"/>
        </w:rPr>
        <w:t>,</w:t>
      </w:r>
      <w:r w:rsidRPr="00DA5613">
        <w:rPr>
          <w:rFonts w:asciiTheme="minorHAnsi" w:hAnsiTheme="minorHAnsi" w:cstheme="minorHAnsi"/>
        </w:rPr>
        <w:t xml:space="preserve"> and others on their campuses.</w:t>
      </w:r>
    </w:p>
    <w:p w14:paraId="217E772A" w14:textId="4A3F9BF4" w:rsidR="00DA5613" w:rsidRPr="00DA5613" w:rsidRDefault="00DA5613" w:rsidP="00DE6B57">
      <w:pPr>
        <w:spacing w:line="480" w:lineRule="auto"/>
        <w:ind w:firstLine="720"/>
        <w:rPr>
          <w:rFonts w:asciiTheme="minorHAnsi" w:hAnsiTheme="minorHAnsi" w:cstheme="minorHAnsi"/>
        </w:rPr>
      </w:pPr>
      <w:r w:rsidRPr="00DA5613">
        <w:rPr>
          <w:rFonts w:asciiTheme="minorHAnsi" w:hAnsiTheme="minorHAnsi" w:cstheme="minorHAnsi"/>
        </w:rPr>
        <w:t>The balance of the harm, the equities at issue, and the public interest all weigh in favor of an injunction.  As detailed above, Plaintiffs’ medical conditions place them at increased risk of either contracting COVID-19 and/or experiencing severe symptoms from the virus</w:t>
      </w:r>
      <w:r w:rsidR="006C7A72">
        <w:rPr>
          <w:rFonts w:asciiTheme="minorHAnsi" w:hAnsiTheme="minorHAnsi" w:cstheme="minorHAnsi"/>
        </w:rPr>
        <w:t>.  As a result</w:t>
      </w:r>
      <w:r w:rsidRPr="00DA5613">
        <w:rPr>
          <w:rFonts w:asciiTheme="minorHAnsi" w:hAnsiTheme="minorHAnsi" w:cstheme="minorHAnsi"/>
        </w:rPr>
        <w:t xml:space="preserve">, Plaintiffs have lost and will continue </w:t>
      </w:r>
      <w:r w:rsidR="000F412D">
        <w:rPr>
          <w:rFonts w:asciiTheme="minorHAnsi" w:hAnsiTheme="minorHAnsi" w:cstheme="minorHAnsi"/>
        </w:rPr>
        <w:t xml:space="preserve">to </w:t>
      </w:r>
      <w:r w:rsidRPr="00DA5613">
        <w:rPr>
          <w:rFonts w:asciiTheme="minorHAnsi" w:hAnsiTheme="minorHAnsi" w:cstheme="minorHAnsi"/>
        </w:rPr>
        <w:t xml:space="preserve">lose the opportunity to attend and have meaningful access to public school in person without an injunction.  In addition, courts presume that a violation of a civil rights statute is an irreparable harm.  </w:t>
      </w:r>
      <w:r w:rsidRPr="00DA5613">
        <w:rPr>
          <w:rFonts w:asciiTheme="minorHAnsi" w:hAnsiTheme="minorHAnsi" w:cstheme="minorHAnsi"/>
          <w:i/>
          <w:iCs/>
        </w:rPr>
        <w:t>See Silver Sage Partners, Ltd. v. City of Desert Hot Springs</w:t>
      </w:r>
      <w:r w:rsidRPr="00DA5613">
        <w:rPr>
          <w:rFonts w:asciiTheme="minorHAnsi" w:hAnsiTheme="minorHAnsi" w:cstheme="minorHAnsi"/>
        </w:rPr>
        <w:t xml:space="preserve">, 251 F.3d 814, 827 (9th Cir. 2001) (“[W]here a defendant has violated a civil rights statute, we will presume that the plaintiff has suffered irreparable injury from the fact of the defendant’s violation.”); </w:t>
      </w:r>
      <w:r w:rsidRPr="00DA5613">
        <w:rPr>
          <w:rFonts w:asciiTheme="minorHAnsi" w:hAnsiTheme="minorHAnsi" w:cstheme="minorHAnsi"/>
          <w:i/>
          <w:iCs/>
        </w:rPr>
        <w:t>Gresham v. Windrush Partners, Ltd.</w:t>
      </w:r>
      <w:r w:rsidRPr="00DA5613">
        <w:rPr>
          <w:rFonts w:asciiTheme="minorHAnsi" w:hAnsiTheme="minorHAnsi" w:cstheme="minorHAnsi"/>
        </w:rPr>
        <w:t>, 730 F.2d 1417, 1423 (11th Cir. 1984) (“[I]rreparable injury may be presumed from the fact of discrimination and violations of fair housing statutes.”).</w:t>
      </w:r>
    </w:p>
    <w:p w14:paraId="31629C3C" w14:textId="2503230F" w:rsidR="00DA5613" w:rsidRPr="00DA5613" w:rsidRDefault="00DA5613" w:rsidP="00DE6B57">
      <w:pPr>
        <w:spacing w:line="480" w:lineRule="auto"/>
        <w:ind w:firstLine="720"/>
        <w:rPr>
          <w:rFonts w:asciiTheme="minorHAnsi" w:hAnsiTheme="minorHAnsi" w:cstheme="minorHAnsi"/>
        </w:rPr>
      </w:pPr>
      <w:r w:rsidRPr="00DA5613">
        <w:rPr>
          <w:rFonts w:asciiTheme="minorHAnsi" w:hAnsiTheme="minorHAnsi" w:cstheme="minorHAnsi"/>
        </w:rPr>
        <w:t xml:space="preserve">Moreover, an injunction will not cause any harm to Defendants because complying with federal law is “no hardship” and is in the public interest.  </w:t>
      </w:r>
      <w:r w:rsidRPr="00DA5613">
        <w:rPr>
          <w:rFonts w:asciiTheme="minorHAnsi" w:hAnsiTheme="minorHAnsi" w:cstheme="minorHAnsi"/>
          <w:i/>
          <w:iCs/>
        </w:rPr>
        <w:t>Mitchell v. Pidcock</w:t>
      </w:r>
      <w:r w:rsidRPr="00DA5613">
        <w:rPr>
          <w:rFonts w:asciiTheme="minorHAnsi" w:hAnsiTheme="minorHAnsi" w:cstheme="minorHAnsi"/>
        </w:rPr>
        <w:t xml:space="preserve">, 299 F.2d 281, 287 (5th Cir. 1962).  It is also in the public’s interest to inhibit the spread of COVID-19 and the devastation it is wreaking in Texas, among </w:t>
      </w:r>
      <w:r w:rsidR="006C7A72">
        <w:rPr>
          <w:rFonts w:asciiTheme="minorHAnsi" w:hAnsiTheme="minorHAnsi" w:cstheme="minorHAnsi"/>
        </w:rPr>
        <w:t xml:space="preserve">both </w:t>
      </w:r>
      <w:r w:rsidRPr="00DA5613">
        <w:rPr>
          <w:rFonts w:asciiTheme="minorHAnsi" w:hAnsiTheme="minorHAnsi" w:cstheme="minorHAnsi"/>
        </w:rPr>
        <w:t>school-aged children and their families, particularly for the safety of disabled children.  And it is in the public’s best interest for its school districts to have full authority to respond to the needs of its citizenry by considering county-wide infection and hospitalization rates, available resources, vaccination rates, public opinion, and the number of other factors that guide public policy during a pandemic.</w:t>
      </w:r>
    </w:p>
    <w:p w14:paraId="5BDE20AB" w14:textId="5AB3E14F" w:rsidR="004130C6" w:rsidRDefault="00DA5613" w:rsidP="00DE6B57">
      <w:pPr>
        <w:spacing w:line="480" w:lineRule="auto"/>
        <w:ind w:firstLine="720"/>
        <w:rPr>
          <w:rFonts w:asciiTheme="minorHAnsi" w:hAnsiTheme="minorHAnsi" w:cstheme="minorHAnsi"/>
        </w:rPr>
      </w:pPr>
      <w:r>
        <w:rPr>
          <w:rFonts w:asciiTheme="minorHAnsi" w:hAnsiTheme="minorHAnsi" w:cstheme="minorHAnsi"/>
        </w:rPr>
        <w:t>Accordingly</w:t>
      </w:r>
      <w:r w:rsidRPr="00DA5613">
        <w:rPr>
          <w:rFonts w:asciiTheme="minorHAnsi" w:hAnsiTheme="minorHAnsi" w:cstheme="minorHAnsi"/>
        </w:rPr>
        <w:t xml:space="preserve">, </w:t>
      </w:r>
      <w:r>
        <w:rPr>
          <w:rFonts w:asciiTheme="minorHAnsi" w:hAnsiTheme="minorHAnsi" w:cstheme="minorHAnsi"/>
        </w:rPr>
        <w:t>an injunction</w:t>
      </w:r>
      <w:r w:rsidRPr="00DA5613">
        <w:rPr>
          <w:rFonts w:asciiTheme="minorHAnsi" w:hAnsiTheme="minorHAnsi" w:cstheme="minorHAnsi"/>
        </w:rPr>
        <w:t xml:space="preserve"> </w:t>
      </w:r>
      <w:r>
        <w:rPr>
          <w:rFonts w:asciiTheme="minorHAnsi" w:hAnsiTheme="minorHAnsi" w:cstheme="minorHAnsi"/>
        </w:rPr>
        <w:t xml:space="preserve">enjoining </w:t>
      </w:r>
      <w:r w:rsidRPr="00DA5613">
        <w:rPr>
          <w:rFonts w:asciiTheme="minorHAnsi" w:hAnsiTheme="minorHAnsi" w:cstheme="minorHAnsi"/>
        </w:rPr>
        <w:t>Defendants</w:t>
      </w:r>
      <w:r w:rsidR="006C7A72">
        <w:rPr>
          <w:rFonts w:asciiTheme="minorHAnsi" w:hAnsiTheme="minorHAnsi" w:cstheme="minorHAnsi"/>
        </w:rPr>
        <w:t xml:space="preserve"> and their </w:t>
      </w:r>
      <w:r w:rsidRPr="00DA5613">
        <w:rPr>
          <w:rFonts w:asciiTheme="minorHAnsi" w:hAnsiTheme="minorHAnsi" w:cstheme="minorHAnsi"/>
        </w:rPr>
        <w:t>officers, agents, servants, employees, and attorneys</w:t>
      </w:r>
      <w:r w:rsidR="006C7A72">
        <w:rPr>
          <w:rFonts w:asciiTheme="minorHAnsi" w:hAnsiTheme="minorHAnsi" w:cstheme="minorHAnsi"/>
        </w:rPr>
        <w:t xml:space="preserve">—and </w:t>
      </w:r>
      <w:r w:rsidRPr="00DA5613">
        <w:rPr>
          <w:rFonts w:asciiTheme="minorHAnsi" w:hAnsiTheme="minorHAnsi" w:cstheme="minorHAnsi"/>
        </w:rPr>
        <w:t>other</w:t>
      </w:r>
      <w:r w:rsidR="006C7A72">
        <w:rPr>
          <w:rFonts w:asciiTheme="minorHAnsi" w:hAnsiTheme="minorHAnsi" w:cstheme="minorHAnsi"/>
        </w:rPr>
        <w:t>s</w:t>
      </w:r>
      <w:r w:rsidRPr="00DA5613">
        <w:rPr>
          <w:rFonts w:asciiTheme="minorHAnsi" w:hAnsiTheme="minorHAnsi" w:cstheme="minorHAnsi"/>
        </w:rPr>
        <w:t xml:space="preserve"> who are in active concert or participation with Defendant</w:t>
      </w:r>
      <w:r w:rsidR="006C7A72">
        <w:rPr>
          <w:rFonts w:asciiTheme="minorHAnsi" w:hAnsiTheme="minorHAnsi" w:cstheme="minorHAnsi"/>
        </w:rPr>
        <w:t>s</w:t>
      </w:r>
      <w:r w:rsidR="00DE6B57">
        <w:rPr>
          <w:rFonts w:asciiTheme="minorHAnsi" w:hAnsiTheme="minorHAnsi" w:cstheme="minorHAnsi"/>
        </w:rPr>
        <w:t>—</w:t>
      </w:r>
      <w:r w:rsidRPr="00DE6B57">
        <w:rPr>
          <w:rFonts w:asciiTheme="minorHAnsi" w:hAnsiTheme="minorHAnsi" w:cstheme="minorHAnsi"/>
        </w:rPr>
        <w:t xml:space="preserve">from </w:t>
      </w:r>
      <w:r w:rsidRPr="00DE6B57">
        <w:t>implementing, giving any effect to, issuing any guidance adopting, imposing any fines</w:t>
      </w:r>
      <w:r w:rsidR="00DE6B57">
        <w:t>,</w:t>
      </w:r>
      <w:r w:rsidRPr="00DE6B57">
        <w:t xml:space="preserve"> or withholding any funding in connection with, or bringing any legal actions to enforce Paragraphs 3(b), 3(e), 3(g), and 4 of GA-38 as to public schools or school districts</w:t>
      </w:r>
      <w:r w:rsidRPr="00DE6B57">
        <w:rPr>
          <w:rFonts w:asciiTheme="minorHAnsi" w:hAnsiTheme="minorHAnsi" w:cstheme="minorHAnsi"/>
        </w:rPr>
        <w:t xml:space="preserve"> is necessary to </w:t>
      </w:r>
      <w:r>
        <w:rPr>
          <w:rFonts w:asciiTheme="minorHAnsi" w:hAnsiTheme="minorHAnsi" w:cstheme="minorHAnsi"/>
        </w:rPr>
        <w:t xml:space="preserve">prevent further harm and is in the public interest.  </w:t>
      </w:r>
      <w:bookmarkEnd w:id="176"/>
    </w:p>
    <w:p w14:paraId="41D78597" w14:textId="778BC4B1" w:rsidR="00F97FB6" w:rsidRDefault="004B21B0" w:rsidP="00F97FB6">
      <w:pPr>
        <w:pStyle w:val="pleadingtls2"/>
        <w:jc w:val="both"/>
      </w:pPr>
      <w:bookmarkStart w:id="177" w:name="_Toc83846197"/>
      <w:r>
        <w:t>CONCLUSION</w:t>
      </w:r>
      <w:bookmarkEnd w:id="177"/>
    </w:p>
    <w:p w14:paraId="5AD92472" w14:textId="042CCF4C" w:rsidR="00F97FB6" w:rsidRDefault="00F97FB6" w:rsidP="00DE6B57">
      <w:pPr>
        <w:spacing w:line="480" w:lineRule="auto"/>
        <w:ind w:firstLine="720"/>
        <w:rPr>
          <w:rFonts w:asciiTheme="minorHAnsi" w:hAnsiTheme="minorHAnsi" w:cstheme="minorHAnsi"/>
        </w:rPr>
      </w:pPr>
      <w:r>
        <w:t>For the reasons stated above and based on the evidence and arguments Plaintiffs will provide at trial, Plaintiffs should prevail on each of their claims.</w:t>
      </w:r>
    </w:p>
    <w:tbl>
      <w:tblPr>
        <w:tblW w:w="9450" w:type="dxa"/>
        <w:tblInd w:w="18" w:type="dxa"/>
        <w:tblBorders>
          <w:insideH w:val="single" w:sz="4" w:space="0" w:color="auto"/>
        </w:tblBorders>
        <w:tblLayout w:type="fixed"/>
        <w:tblLook w:val="0000" w:firstRow="0" w:lastRow="0" w:firstColumn="0" w:lastColumn="0" w:noHBand="0" w:noVBand="0"/>
      </w:tblPr>
      <w:tblGrid>
        <w:gridCol w:w="4302"/>
        <w:gridCol w:w="36"/>
        <w:gridCol w:w="5112"/>
      </w:tblGrid>
      <w:tr w:rsidR="00D14DA6" w14:paraId="15DDF288" w14:textId="77777777" w:rsidTr="000C3162">
        <w:trPr>
          <w:trHeight w:val="783"/>
        </w:trPr>
        <w:tc>
          <w:tcPr>
            <w:tcW w:w="4338" w:type="dxa"/>
            <w:gridSpan w:val="2"/>
            <w:tcBorders>
              <w:bottom w:val="nil"/>
            </w:tcBorders>
          </w:tcPr>
          <w:p w14:paraId="1124AC02" w14:textId="77777777" w:rsidR="00D14DA6" w:rsidRDefault="00D14DA6" w:rsidP="000C3162">
            <w:pPr>
              <w:widowControl w:val="0"/>
              <w:tabs>
                <w:tab w:val="left" w:pos="4320"/>
                <w:tab w:val="left" w:pos="4860"/>
                <w:tab w:val="left" w:pos="8640"/>
              </w:tabs>
            </w:pPr>
          </w:p>
          <w:p w14:paraId="46E77E26" w14:textId="77777777" w:rsidR="00D14DA6" w:rsidRDefault="00D14DA6" w:rsidP="000C3162">
            <w:pPr>
              <w:widowControl w:val="0"/>
              <w:tabs>
                <w:tab w:val="left" w:pos="4320"/>
                <w:tab w:val="left" w:pos="4860"/>
                <w:tab w:val="left" w:pos="8640"/>
              </w:tabs>
            </w:pPr>
          </w:p>
          <w:p w14:paraId="39DF6533" w14:textId="77777777" w:rsidR="00D14DA6" w:rsidRDefault="00D14DA6" w:rsidP="000C3162">
            <w:pPr>
              <w:widowControl w:val="0"/>
              <w:tabs>
                <w:tab w:val="left" w:pos="4320"/>
                <w:tab w:val="left" w:pos="4860"/>
                <w:tab w:val="left" w:pos="8640"/>
              </w:tabs>
            </w:pPr>
            <w:r>
              <w:t>Dated: September 29, 2021</w:t>
            </w:r>
          </w:p>
        </w:tc>
        <w:tc>
          <w:tcPr>
            <w:tcW w:w="5112" w:type="dxa"/>
            <w:tcBorders>
              <w:bottom w:val="nil"/>
            </w:tcBorders>
          </w:tcPr>
          <w:p w14:paraId="4A3A36DC" w14:textId="77777777" w:rsidR="00D14DA6" w:rsidRDefault="00D14DA6" w:rsidP="000C3162">
            <w:pPr>
              <w:widowControl w:val="0"/>
              <w:tabs>
                <w:tab w:val="left" w:pos="4320"/>
                <w:tab w:val="left" w:pos="4860"/>
                <w:tab w:val="left" w:pos="8640"/>
              </w:tabs>
            </w:pPr>
          </w:p>
          <w:p w14:paraId="36576DE3" w14:textId="77777777" w:rsidR="00D14DA6" w:rsidRDefault="00D14DA6" w:rsidP="000C3162">
            <w:pPr>
              <w:widowControl w:val="0"/>
              <w:tabs>
                <w:tab w:val="left" w:pos="4320"/>
                <w:tab w:val="left" w:pos="4860"/>
                <w:tab w:val="left" w:pos="8640"/>
              </w:tabs>
            </w:pPr>
          </w:p>
          <w:p w14:paraId="531F80BE" w14:textId="77777777" w:rsidR="00D14DA6" w:rsidRDefault="00D14DA6" w:rsidP="000C3162">
            <w:pPr>
              <w:widowControl w:val="0"/>
              <w:tabs>
                <w:tab w:val="left" w:pos="4320"/>
                <w:tab w:val="left" w:pos="4860"/>
                <w:tab w:val="left" w:pos="8640"/>
              </w:tabs>
            </w:pPr>
          </w:p>
          <w:p w14:paraId="7A9AECB6" w14:textId="77777777" w:rsidR="00D14DA6" w:rsidRDefault="00D14DA6" w:rsidP="000C3162">
            <w:pPr>
              <w:widowControl w:val="0"/>
              <w:tabs>
                <w:tab w:val="left" w:pos="4320"/>
                <w:tab w:val="left" w:pos="4860"/>
                <w:tab w:val="left" w:pos="8640"/>
              </w:tabs>
            </w:pPr>
          </w:p>
          <w:p w14:paraId="2477ED57" w14:textId="77777777" w:rsidR="00D14DA6" w:rsidRDefault="00D14DA6" w:rsidP="000C3162">
            <w:pPr>
              <w:widowControl w:val="0"/>
              <w:tabs>
                <w:tab w:val="left" w:pos="4320"/>
                <w:tab w:val="left" w:pos="4860"/>
                <w:tab w:val="left" w:pos="8640"/>
              </w:tabs>
            </w:pPr>
          </w:p>
          <w:p w14:paraId="27D8F9C0" w14:textId="77777777" w:rsidR="00D14DA6" w:rsidRDefault="00D14DA6" w:rsidP="000C3162">
            <w:pPr>
              <w:widowControl w:val="0"/>
              <w:tabs>
                <w:tab w:val="left" w:pos="4320"/>
                <w:tab w:val="left" w:pos="4860"/>
                <w:tab w:val="left" w:pos="8640"/>
              </w:tabs>
            </w:pPr>
          </w:p>
          <w:p w14:paraId="49F1F7BE" w14:textId="77777777" w:rsidR="00D14DA6" w:rsidRDefault="00D14DA6" w:rsidP="000C3162">
            <w:pPr>
              <w:widowControl w:val="0"/>
              <w:tabs>
                <w:tab w:val="left" w:pos="4320"/>
                <w:tab w:val="left" w:pos="4860"/>
                <w:tab w:val="left" w:pos="8640"/>
              </w:tabs>
            </w:pPr>
          </w:p>
          <w:p w14:paraId="62BA0851" w14:textId="77777777" w:rsidR="00D14DA6" w:rsidRDefault="00D14DA6" w:rsidP="000C3162">
            <w:pPr>
              <w:widowControl w:val="0"/>
              <w:tabs>
                <w:tab w:val="left" w:pos="4320"/>
                <w:tab w:val="left" w:pos="4860"/>
                <w:tab w:val="left" w:pos="8640"/>
              </w:tabs>
            </w:pPr>
            <w:r>
              <w:t>Respectfully submitted,</w:t>
            </w:r>
          </w:p>
        </w:tc>
      </w:tr>
      <w:tr w:rsidR="00D14DA6" w14:paraId="759D697D" w14:textId="77777777" w:rsidTr="000C3162">
        <w:trPr>
          <w:trHeight w:val="1160"/>
        </w:trPr>
        <w:tc>
          <w:tcPr>
            <w:tcW w:w="4302" w:type="dxa"/>
            <w:tcBorders>
              <w:top w:val="nil"/>
              <w:bottom w:val="nil"/>
            </w:tcBorders>
          </w:tcPr>
          <w:p w14:paraId="7EADFC7B" w14:textId="77777777" w:rsidR="00D14DA6" w:rsidRDefault="00D14DA6" w:rsidP="000C3162">
            <w:pPr>
              <w:widowControl w:val="0"/>
              <w:tabs>
                <w:tab w:val="left" w:pos="4320"/>
                <w:tab w:val="left" w:pos="4860"/>
                <w:tab w:val="left" w:pos="8640"/>
              </w:tabs>
            </w:pPr>
          </w:p>
        </w:tc>
        <w:tc>
          <w:tcPr>
            <w:tcW w:w="5148" w:type="dxa"/>
            <w:gridSpan w:val="2"/>
            <w:tcBorders>
              <w:top w:val="nil"/>
              <w:bottom w:val="nil"/>
            </w:tcBorders>
          </w:tcPr>
          <w:p w14:paraId="73BBF9E9" w14:textId="77777777" w:rsidR="00D14DA6" w:rsidRPr="001D561F" w:rsidRDefault="00D14DA6" w:rsidP="000C3162">
            <w:pPr>
              <w:jc w:val="both"/>
              <w:rPr>
                <w:u w:val="single"/>
              </w:rPr>
            </w:pPr>
            <w:r w:rsidRPr="00A27282">
              <w:rPr>
                <w:noProof/>
                <w:u w:val="single"/>
              </w:rPr>
              <w:drawing>
                <wp:inline distT="0" distB="0" distL="0" distR="0" wp14:anchorId="46C55AB5" wp14:editId="1C35B57C">
                  <wp:extent cx="2407285" cy="821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285" cy="821690"/>
                          </a:xfrm>
                          <a:prstGeom prst="rect">
                            <a:avLst/>
                          </a:prstGeom>
                          <a:noFill/>
                          <a:ln>
                            <a:noFill/>
                          </a:ln>
                        </pic:spPr>
                      </pic:pic>
                    </a:graphicData>
                  </a:graphic>
                </wp:inline>
              </w:drawing>
            </w:r>
            <w:r>
              <w:rPr>
                <w:u w:val="single"/>
              </w:rPr>
              <w:tab/>
            </w:r>
          </w:p>
          <w:p w14:paraId="0D6F49F9" w14:textId="77777777" w:rsidR="00D14DA6" w:rsidRPr="00153A1B" w:rsidRDefault="00D14DA6" w:rsidP="000C3162">
            <w:pPr>
              <w:jc w:val="both"/>
            </w:pPr>
            <w:r w:rsidRPr="00153A1B">
              <w:t>Thomas M. Melsheimer</w:t>
            </w:r>
          </w:p>
          <w:p w14:paraId="01757F59" w14:textId="77777777" w:rsidR="00D14DA6" w:rsidRDefault="00D14DA6" w:rsidP="000C3162">
            <w:pPr>
              <w:jc w:val="both"/>
            </w:pPr>
            <w:r w:rsidRPr="00153A1B">
              <w:t>Texas Bar No. 13922550</w:t>
            </w:r>
          </w:p>
          <w:p w14:paraId="13A31B0E" w14:textId="77777777" w:rsidR="00D14DA6" w:rsidRPr="00153A1B" w:rsidRDefault="00D14DA6" w:rsidP="000C3162">
            <w:pPr>
              <w:jc w:val="both"/>
            </w:pPr>
            <w:r w:rsidRPr="009566F0">
              <w:t>tmelsheimer</w:t>
            </w:r>
            <w:r>
              <w:t>@winston.com</w:t>
            </w:r>
          </w:p>
          <w:p w14:paraId="73519185" w14:textId="77777777" w:rsidR="00D14DA6" w:rsidRDefault="00D14DA6" w:rsidP="000C3162">
            <w:pPr>
              <w:jc w:val="both"/>
            </w:pPr>
            <w:r>
              <w:t>Scott C. Thomas</w:t>
            </w:r>
          </w:p>
          <w:p w14:paraId="1B4891D1" w14:textId="77777777" w:rsidR="00D14DA6" w:rsidRDefault="00D14DA6" w:rsidP="000C3162">
            <w:pPr>
              <w:jc w:val="both"/>
            </w:pPr>
            <w:r>
              <w:t>Texas Bar No. 24046964</w:t>
            </w:r>
          </w:p>
          <w:p w14:paraId="4A0ECFC6" w14:textId="77777777" w:rsidR="00D14DA6" w:rsidRDefault="00D14DA6" w:rsidP="000C3162">
            <w:pPr>
              <w:jc w:val="both"/>
            </w:pPr>
            <w:r>
              <w:t>scthomas@winston.com</w:t>
            </w:r>
          </w:p>
          <w:p w14:paraId="3545B865" w14:textId="77777777" w:rsidR="00D14DA6" w:rsidRPr="00153A1B" w:rsidRDefault="00D14DA6" w:rsidP="000C3162">
            <w:pPr>
              <w:jc w:val="both"/>
            </w:pPr>
            <w:r w:rsidRPr="00153A1B">
              <w:t>Alex Wolens</w:t>
            </w:r>
          </w:p>
          <w:p w14:paraId="4EBFCFE2" w14:textId="77777777" w:rsidR="00D14DA6" w:rsidRPr="00153A1B" w:rsidRDefault="00D14DA6" w:rsidP="000C3162">
            <w:pPr>
              <w:jc w:val="both"/>
            </w:pPr>
            <w:r w:rsidRPr="00153A1B">
              <w:t>Texas Bar No. 24110546</w:t>
            </w:r>
          </w:p>
          <w:p w14:paraId="2F96FF19" w14:textId="77777777" w:rsidR="00D14DA6" w:rsidRPr="00153A1B" w:rsidRDefault="00D14DA6" w:rsidP="000C3162">
            <w:pPr>
              <w:jc w:val="both"/>
            </w:pPr>
            <w:r>
              <w:t>John Michael Gaddis (</w:t>
            </w:r>
            <w:r w:rsidRPr="00E727EF">
              <w:rPr>
                <w:i/>
                <w:iCs/>
              </w:rPr>
              <w:t>pro hac vice</w:t>
            </w:r>
            <w:r>
              <w:t>)</w:t>
            </w:r>
          </w:p>
          <w:p w14:paraId="4EC52E6F" w14:textId="77777777" w:rsidR="00D14DA6" w:rsidRDefault="00D14DA6" w:rsidP="000C3162">
            <w:pPr>
              <w:jc w:val="both"/>
            </w:pPr>
            <w:r w:rsidRPr="00153A1B">
              <w:t>Texas Bar No. 24069747</w:t>
            </w:r>
          </w:p>
          <w:p w14:paraId="7D9335AE" w14:textId="42A341A9" w:rsidR="00D14DA6" w:rsidRDefault="00D14DA6" w:rsidP="000C3162">
            <w:pPr>
              <w:jc w:val="both"/>
            </w:pPr>
            <w:r>
              <w:t>William G. Fox, Jr.</w:t>
            </w:r>
          </w:p>
          <w:p w14:paraId="137F60DB" w14:textId="77777777" w:rsidR="00D14DA6" w:rsidRPr="00017E4F" w:rsidRDefault="00D14DA6" w:rsidP="000C3162">
            <w:pPr>
              <w:jc w:val="both"/>
              <w:rPr>
                <w:b/>
                <w:bCs/>
                <w:highlight w:val="yellow"/>
              </w:rPr>
            </w:pPr>
            <w:r>
              <w:t>Texas Bar No. 24101766</w:t>
            </w:r>
          </w:p>
          <w:p w14:paraId="18B362CA" w14:textId="77777777" w:rsidR="00D14DA6" w:rsidRDefault="00D14DA6" w:rsidP="000C3162">
            <w:pPr>
              <w:jc w:val="both"/>
              <w:rPr>
                <w:b/>
                <w:bCs/>
              </w:rPr>
            </w:pPr>
            <w:r w:rsidRPr="00443061">
              <w:rPr>
                <w:b/>
                <w:bCs/>
              </w:rPr>
              <w:t>WINSTON &amp; STRAWN LLP</w:t>
            </w:r>
          </w:p>
          <w:p w14:paraId="34E19FD2" w14:textId="77777777" w:rsidR="00D14DA6" w:rsidRPr="00E06A8F" w:rsidRDefault="00D14DA6" w:rsidP="000C3162">
            <w:pPr>
              <w:jc w:val="both"/>
              <w:rPr>
                <w:bCs/>
              </w:rPr>
            </w:pPr>
            <w:r w:rsidRPr="00E06A8F">
              <w:rPr>
                <w:bCs/>
              </w:rPr>
              <w:t>2121 N. Pearl Street, Suite 900</w:t>
            </w:r>
          </w:p>
          <w:p w14:paraId="4EBD1D38" w14:textId="77777777" w:rsidR="00D14DA6" w:rsidRPr="00E06A8F" w:rsidRDefault="00D14DA6" w:rsidP="000C3162">
            <w:pPr>
              <w:jc w:val="both"/>
              <w:rPr>
                <w:bCs/>
              </w:rPr>
            </w:pPr>
            <w:r w:rsidRPr="00E06A8F">
              <w:rPr>
                <w:bCs/>
              </w:rPr>
              <w:t>Dallas, TX 75201</w:t>
            </w:r>
          </w:p>
          <w:p w14:paraId="4816D6B1" w14:textId="77777777" w:rsidR="00D14DA6" w:rsidRPr="00E06A8F" w:rsidRDefault="00D14DA6" w:rsidP="000C3162">
            <w:pPr>
              <w:jc w:val="both"/>
              <w:rPr>
                <w:bCs/>
              </w:rPr>
            </w:pPr>
            <w:r>
              <w:rPr>
                <w:bCs/>
              </w:rPr>
              <w:t>(</w:t>
            </w:r>
            <w:r w:rsidRPr="00E06A8F">
              <w:rPr>
                <w:bCs/>
              </w:rPr>
              <w:t>214</w:t>
            </w:r>
            <w:r>
              <w:rPr>
                <w:bCs/>
              </w:rPr>
              <w:t xml:space="preserve">) </w:t>
            </w:r>
            <w:r w:rsidRPr="00E06A8F">
              <w:rPr>
                <w:bCs/>
              </w:rPr>
              <w:t>453-6500</w:t>
            </w:r>
          </w:p>
          <w:p w14:paraId="2F372CFA" w14:textId="77777777" w:rsidR="00D14DA6" w:rsidRDefault="00D14DA6" w:rsidP="000C3162">
            <w:pPr>
              <w:jc w:val="both"/>
              <w:rPr>
                <w:bCs/>
              </w:rPr>
            </w:pPr>
            <w:r>
              <w:rPr>
                <w:bCs/>
              </w:rPr>
              <w:t>(</w:t>
            </w:r>
            <w:r w:rsidRPr="00E06A8F">
              <w:rPr>
                <w:bCs/>
              </w:rPr>
              <w:t>214</w:t>
            </w:r>
            <w:r>
              <w:rPr>
                <w:bCs/>
              </w:rPr>
              <w:t xml:space="preserve">) </w:t>
            </w:r>
            <w:r w:rsidRPr="00E06A8F">
              <w:rPr>
                <w:bCs/>
              </w:rPr>
              <w:t>453-6400 (fax)</w:t>
            </w:r>
          </w:p>
          <w:p w14:paraId="72C54324" w14:textId="77777777" w:rsidR="00D14DA6" w:rsidRDefault="00D14DA6" w:rsidP="000C3162">
            <w:pPr>
              <w:jc w:val="both"/>
              <w:rPr>
                <w:bCs/>
              </w:rPr>
            </w:pPr>
          </w:p>
          <w:p w14:paraId="14ADB17E" w14:textId="77777777" w:rsidR="00D14DA6" w:rsidRPr="001D561F" w:rsidRDefault="00D14DA6" w:rsidP="000C3162">
            <w:pPr>
              <w:jc w:val="both"/>
            </w:pPr>
            <w:r w:rsidRPr="001D561F">
              <w:t>Brandon W</w:t>
            </w:r>
            <w:r>
              <w:t>.</w:t>
            </w:r>
            <w:r w:rsidRPr="001D561F">
              <w:t xml:space="preserve"> Duke (</w:t>
            </w:r>
            <w:r w:rsidRPr="003B70B4">
              <w:rPr>
                <w:i/>
                <w:iCs/>
              </w:rPr>
              <w:t>pro hac vice</w:t>
            </w:r>
            <w:r w:rsidRPr="001D561F">
              <w:t>)</w:t>
            </w:r>
          </w:p>
          <w:p w14:paraId="667EFA86" w14:textId="77777777" w:rsidR="00D14DA6" w:rsidRPr="001D561F" w:rsidRDefault="00D14DA6" w:rsidP="000C3162">
            <w:pPr>
              <w:jc w:val="both"/>
            </w:pPr>
            <w:r w:rsidRPr="001D561F">
              <w:t>Texas Bar No. 240994476</w:t>
            </w:r>
          </w:p>
          <w:p w14:paraId="305DD906" w14:textId="77777777" w:rsidR="00D14DA6" w:rsidRPr="001D561F" w:rsidRDefault="00D14DA6" w:rsidP="000C3162">
            <w:pPr>
              <w:jc w:val="both"/>
            </w:pPr>
            <w:r w:rsidRPr="001D561F">
              <w:t>bduke@winston.com</w:t>
            </w:r>
          </w:p>
          <w:p w14:paraId="1B5B75B4" w14:textId="77777777" w:rsidR="00D14DA6" w:rsidRDefault="00D14DA6" w:rsidP="000C3162">
            <w:pPr>
              <w:jc w:val="both"/>
              <w:rPr>
                <w:b/>
              </w:rPr>
            </w:pPr>
            <w:r>
              <w:rPr>
                <w:b/>
              </w:rPr>
              <w:t>WINSTON &amp; STRAWN LLP</w:t>
            </w:r>
          </w:p>
          <w:p w14:paraId="1EBF288C" w14:textId="77777777" w:rsidR="00D14DA6" w:rsidRDefault="00D14DA6" w:rsidP="000C3162">
            <w:pPr>
              <w:jc w:val="both"/>
            </w:pPr>
            <w:r>
              <w:t xml:space="preserve">800 Capitol St., Suite 2400 </w:t>
            </w:r>
          </w:p>
          <w:p w14:paraId="26835881" w14:textId="77777777" w:rsidR="00D14DA6" w:rsidRDefault="00D14DA6" w:rsidP="000C3162">
            <w:pPr>
              <w:jc w:val="both"/>
            </w:pPr>
            <w:r>
              <w:t xml:space="preserve">Houston, TX 77002 </w:t>
            </w:r>
          </w:p>
          <w:p w14:paraId="17E717F2" w14:textId="77777777" w:rsidR="00D14DA6" w:rsidRDefault="00D14DA6" w:rsidP="000C3162">
            <w:pPr>
              <w:jc w:val="both"/>
            </w:pPr>
            <w:r>
              <w:t xml:space="preserve">(713) 651-2600 </w:t>
            </w:r>
          </w:p>
          <w:p w14:paraId="178E528B" w14:textId="77777777" w:rsidR="00D14DA6" w:rsidRDefault="00D14DA6" w:rsidP="000C3162">
            <w:pPr>
              <w:jc w:val="both"/>
            </w:pPr>
            <w:r>
              <w:t>(713) 651-2700 (fax)</w:t>
            </w:r>
          </w:p>
          <w:p w14:paraId="4A0157BE" w14:textId="77777777" w:rsidR="00D14DA6" w:rsidRDefault="00D14DA6" w:rsidP="000C3162">
            <w:pPr>
              <w:jc w:val="both"/>
              <w:rPr>
                <w:b/>
              </w:rPr>
            </w:pPr>
          </w:p>
          <w:p w14:paraId="308FE52C" w14:textId="77777777" w:rsidR="00D14DA6" w:rsidRPr="001D561F" w:rsidRDefault="00D14DA6" w:rsidP="000C3162">
            <w:pPr>
              <w:jc w:val="both"/>
              <w:rPr>
                <w:bCs/>
              </w:rPr>
            </w:pPr>
            <w:r w:rsidRPr="001D561F">
              <w:rPr>
                <w:bCs/>
              </w:rPr>
              <w:t>Dustin Rynders</w:t>
            </w:r>
            <w:r>
              <w:rPr>
                <w:bCs/>
              </w:rPr>
              <w:t xml:space="preserve"> (</w:t>
            </w:r>
            <w:r w:rsidRPr="00E727EF">
              <w:rPr>
                <w:i/>
                <w:iCs/>
              </w:rPr>
              <w:t>pro hac vice</w:t>
            </w:r>
            <w:r>
              <w:rPr>
                <w:bCs/>
              </w:rPr>
              <w:t>)</w:t>
            </w:r>
          </w:p>
          <w:p w14:paraId="1B5797F6" w14:textId="77777777" w:rsidR="00D14DA6" w:rsidRPr="001D561F" w:rsidRDefault="00D14DA6" w:rsidP="000C3162">
            <w:pPr>
              <w:jc w:val="both"/>
              <w:rPr>
                <w:bCs/>
              </w:rPr>
            </w:pPr>
            <w:r w:rsidRPr="001D561F">
              <w:rPr>
                <w:bCs/>
              </w:rPr>
              <w:t>Texas Bar No. 24048005</w:t>
            </w:r>
          </w:p>
          <w:p w14:paraId="0A6D7D14" w14:textId="77777777" w:rsidR="00D14DA6" w:rsidRPr="001D561F" w:rsidRDefault="00D14DA6" w:rsidP="000C3162">
            <w:pPr>
              <w:jc w:val="both"/>
              <w:rPr>
                <w:bCs/>
              </w:rPr>
            </w:pPr>
            <w:r w:rsidRPr="001D561F">
              <w:rPr>
                <w:bCs/>
              </w:rPr>
              <w:t>drynders@drtx.org</w:t>
            </w:r>
          </w:p>
          <w:p w14:paraId="25643166" w14:textId="77777777" w:rsidR="00D14DA6" w:rsidRPr="001D561F" w:rsidRDefault="00D14DA6" w:rsidP="000C3162">
            <w:pPr>
              <w:jc w:val="both"/>
              <w:rPr>
                <w:b/>
              </w:rPr>
            </w:pPr>
            <w:r w:rsidRPr="001D561F">
              <w:rPr>
                <w:b/>
              </w:rPr>
              <w:t>DISABILITY RIGHTS TEXAS</w:t>
            </w:r>
          </w:p>
          <w:p w14:paraId="0FC7D453" w14:textId="77777777" w:rsidR="00D14DA6" w:rsidRPr="001D561F" w:rsidRDefault="00D14DA6" w:rsidP="000C3162">
            <w:pPr>
              <w:jc w:val="both"/>
              <w:rPr>
                <w:bCs/>
              </w:rPr>
            </w:pPr>
            <w:r w:rsidRPr="001D561F">
              <w:rPr>
                <w:bCs/>
              </w:rPr>
              <w:t>1500 McGowen, Suite 100</w:t>
            </w:r>
          </w:p>
          <w:p w14:paraId="00292576" w14:textId="77777777" w:rsidR="00D14DA6" w:rsidRPr="001D561F" w:rsidRDefault="00D14DA6" w:rsidP="000C3162">
            <w:pPr>
              <w:jc w:val="both"/>
              <w:rPr>
                <w:bCs/>
              </w:rPr>
            </w:pPr>
            <w:r w:rsidRPr="001D561F">
              <w:rPr>
                <w:bCs/>
              </w:rPr>
              <w:t>Houston, T</w:t>
            </w:r>
            <w:r>
              <w:rPr>
                <w:bCs/>
              </w:rPr>
              <w:t>X</w:t>
            </w:r>
            <w:r w:rsidRPr="001D561F">
              <w:rPr>
                <w:bCs/>
              </w:rPr>
              <w:t xml:space="preserve"> 77004</w:t>
            </w:r>
          </w:p>
          <w:p w14:paraId="458EC0E9" w14:textId="77777777" w:rsidR="00D14DA6" w:rsidRPr="001D561F" w:rsidRDefault="00D14DA6" w:rsidP="000C3162">
            <w:pPr>
              <w:jc w:val="both"/>
              <w:rPr>
                <w:bCs/>
              </w:rPr>
            </w:pPr>
            <w:r w:rsidRPr="001D561F">
              <w:rPr>
                <w:bCs/>
              </w:rPr>
              <w:t>(713) 974-7691</w:t>
            </w:r>
          </w:p>
          <w:p w14:paraId="108B8876" w14:textId="77777777" w:rsidR="00D14DA6" w:rsidRPr="001D561F" w:rsidRDefault="00D14DA6" w:rsidP="000C3162">
            <w:pPr>
              <w:jc w:val="both"/>
              <w:rPr>
                <w:bCs/>
              </w:rPr>
            </w:pPr>
            <w:r w:rsidRPr="001D561F">
              <w:rPr>
                <w:bCs/>
              </w:rPr>
              <w:t>(713) 974-7695 (fax)</w:t>
            </w:r>
          </w:p>
          <w:p w14:paraId="53FEC240" w14:textId="77777777" w:rsidR="00D14DA6" w:rsidRPr="001D561F" w:rsidRDefault="00D14DA6" w:rsidP="000C3162">
            <w:pPr>
              <w:jc w:val="both"/>
              <w:rPr>
                <w:b/>
              </w:rPr>
            </w:pPr>
          </w:p>
          <w:p w14:paraId="6F6EF19B" w14:textId="77777777" w:rsidR="00D14DA6" w:rsidRPr="001D561F" w:rsidRDefault="00D14DA6" w:rsidP="000C3162">
            <w:pPr>
              <w:jc w:val="both"/>
            </w:pPr>
            <w:r>
              <w:t>L. Kym Davis Rogers</w:t>
            </w:r>
          </w:p>
          <w:p w14:paraId="0E37B7C8" w14:textId="77777777" w:rsidR="00D14DA6" w:rsidRPr="001D561F" w:rsidRDefault="00D14DA6" w:rsidP="000C3162">
            <w:pPr>
              <w:jc w:val="both"/>
              <w:rPr>
                <w:bCs/>
              </w:rPr>
            </w:pPr>
            <w:r w:rsidRPr="001D561F">
              <w:rPr>
                <w:bCs/>
              </w:rPr>
              <w:t>Texas Bar No. 00796442</w:t>
            </w:r>
          </w:p>
          <w:p w14:paraId="0A921980" w14:textId="77777777" w:rsidR="00D14DA6" w:rsidRPr="001D561F" w:rsidRDefault="00D14DA6" w:rsidP="000C3162">
            <w:pPr>
              <w:jc w:val="both"/>
              <w:rPr>
                <w:bCs/>
              </w:rPr>
            </w:pPr>
            <w:r w:rsidRPr="001D561F">
              <w:rPr>
                <w:bCs/>
              </w:rPr>
              <w:t>krogers@drtx.org</w:t>
            </w:r>
          </w:p>
          <w:p w14:paraId="21E8EC90" w14:textId="77777777" w:rsidR="00D14DA6" w:rsidRPr="001D561F" w:rsidRDefault="00D14DA6" w:rsidP="000C3162">
            <w:pPr>
              <w:jc w:val="both"/>
              <w:rPr>
                <w:b/>
              </w:rPr>
            </w:pPr>
            <w:r w:rsidRPr="001D561F">
              <w:rPr>
                <w:b/>
              </w:rPr>
              <w:t>DISABILITY RIGHTS TEXAS</w:t>
            </w:r>
          </w:p>
          <w:p w14:paraId="7FC81877" w14:textId="77777777" w:rsidR="00D14DA6" w:rsidRPr="001D561F" w:rsidRDefault="00D14DA6" w:rsidP="000C3162">
            <w:pPr>
              <w:jc w:val="both"/>
              <w:rPr>
                <w:bCs/>
              </w:rPr>
            </w:pPr>
            <w:r w:rsidRPr="001D561F">
              <w:rPr>
                <w:bCs/>
              </w:rPr>
              <w:t>1420 W. Mockingbird Lane, Suite 450</w:t>
            </w:r>
          </w:p>
          <w:p w14:paraId="3A5F8A5D" w14:textId="77777777" w:rsidR="00D14DA6" w:rsidRPr="001D561F" w:rsidRDefault="00D14DA6" w:rsidP="000C3162">
            <w:pPr>
              <w:jc w:val="both"/>
              <w:rPr>
                <w:bCs/>
              </w:rPr>
            </w:pPr>
            <w:r w:rsidRPr="001D561F">
              <w:rPr>
                <w:bCs/>
              </w:rPr>
              <w:t>Dallas, T</w:t>
            </w:r>
            <w:r>
              <w:rPr>
                <w:bCs/>
              </w:rPr>
              <w:t>X</w:t>
            </w:r>
            <w:r w:rsidRPr="001D561F">
              <w:rPr>
                <w:bCs/>
              </w:rPr>
              <w:t xml:space="preserve"> 75247</w:t>
            </w:r>
          </w:p>
          <w:p w14:paraId="7E4BD272" w14:textId="77777777" w:rsidR="00D14DA6" w:rsidRPr="001D561F" w:rsidRDefault="00D14DA6" w:rsidP="000C3162">
            <w:pPr>
              <w:jc w:val="both"/>
              <w:rPr>
                <w:bCs/>
              </w:rPr>
            </w:pPr>
            <w:r w:rsidRPr="001D561F">
              <w:rPr>
                <w:bCs/>
              </w:rPr>
              <w:t>(214) 845-4045</w:t>
            </w:r>
          </w:p>
          <w:p w14:paraId="3DD55640" w14:textId="77777777" w:rsidR="00D14DA6" w:rsidRDefault="00D14DA6" w:rsidP="000C3162">
            <w:pPr>
              <w:jc w:val="both"/>
              <w:rPr>
                <w:bCs/>
              </w:rPr>
            </w:pPr>
            <w:r w:rsidRPr="001D561F">
              <w:rPr>
                <w:bCs/>
              </w:rPr>
              <w:t>(214) 630-3472 (fax)</w:t>
            </w:r>
          </w:p>
          <w:p w14:paraId="3C5AB263" w14:textId="77777777" w:rsidR="00D14DA6" w:rsidRDefault="00D14DA6" w:rsidP="000C3162">
            <w:pPr>
              <w:jc w:val="both"/>
              <w:rPr>
                <w:bCs/>
              </w:rPr>
            </w:pPr>
          </w:p>
          <w:p w14:paraId="7E7A5155" w14:textId="77777777" w:rsidR="00D14DA6" w:rsidRPr="001D561F" w:rsidRDefault="00D14DA6" w:rsidP="000C3162">
            <w:pPr>
              <w:keepNext/>
              <w:jc w:val="both"/>
            </w:pPr>
            <w:r>
              <w:t>Robert Winterode (</w:t>
            </w:r>
            <w:r w:rsidRPr="00E727EF">
              <w:rPr>
                <w:i/>
                <w:iCs/>
              </w:rPr>
              <w:t>pro hac vice</w:t>
            </w:r>
            <w:r w:rsidRPr="008E41A5">
              <w:t>)</w:t>
            </w:r>
          </w:p>
          <w:p w14:paraId="358F341F" w14:textId="77777777" w:rsidR="00D14DA6" w:rsidRPr="001D561F" w:rsidRDefault="00D14DA6" w:rsidP="000C3162">
            <w:pPr>
              <w:keepNext/>
              <w:jc w:val="both"/>
              <w:rPr>
                <w:bCs/>
              </w:rPr>
            </w:pPr>
            <w:r w:rsidRPr="001D561F">
              <w:rPr>
                <w:bCs/>
              </w:rPr>
              <w:t>Texas Bar No. 24085664</w:t>
            </w:r>
          </w:p>
          <w:p w14:paraId="51CF680C" w14:textId="77777777" w:rsidR="00D14DA6" w:rsidRPr="001D561F" w:rsidRDefault="00D14DA6" w:rsidP="000C3162">
            <w:pPr>
              <w:keepNext/>
              <w:jc w:val="both"/>
              <w:rPr>
                <w:bCs/>
              </w:rPr>
            </w:pPr>
            <w:r w:rsidRPr="001D561F">
              <w:rPr>
                <w:bCs/>
              </w:rPr>
              <w:t>rwinterode@drtx.org</w:t>
            </w:r>
            <w:r w:rsidRPr="001D561F">
              <w:rPr>
                <w:bCs/>
              </w:rPr>
              <w:tab/>
            </w:r>
          </w:p>
          <w:p w14:paraId="1CD76596" w14:textId="77777777" w:rsidR="00D14DA6" w:rsidRPr="001D561F" w:rsidRDefault="00D14DA6" w:rsidP="000C3162">
            <w:pPr>
              <w:keepNext/>
              <w:jc w:val="both"/>
              <w:rPr>
                <w:b/>
              </w:rPr>
            </w:pPr>
            <w:r w:rsidRPr="001D561F">
              <w:rPr>
                <w:b/>
              </w:rPr>
              <w:t>DISABILITY RIGHTS TEXAS</w:t>
            </w:r>
          </w:p>
          <w:p w14:paraId="0E60DB13" w14:textId="77777777" w:rsidR="00D14DA6" w:rsidRPr="003B70B4" w:rsidRDefault="00D14DA6" w:rsidP="000C3162">
            <w:pPr>
              <w:keepNext/>
              <w:jc w:val="both"/>
              <w:rPr>
                <w:bCs/>
              </w:rPr>
            </w:pPr>
            <w:r w:rsidRPr="003B70B4">
              <w:rPr>
                <w:bCs/>
              </w:rPr>
              <w:t>2211 E. Missouri, Suite 243</w:t>
            </w:r>
          </w:p>
          <w:p w14:paraId="34C1287E" w14:textId="77777777" w:rsidR="00D14DA6" w:rsidRPr="003B5CF9" w:rsidRDefault="00D14DA6" w:rsidP="000C3162">
            <w:pPr>
              <w:keepNext/>
              <w:jc w:val="both"/>
              <w:rPr>
                <w:bCs/>
                <w:lang w:val="es-ES"/>
              </w:rPr>
            </w:pPr>
            <w:r w:rsidRPr="003B5CF9">
              <w:rPr>
                <w:bCs/>
                <w:lang w:val="es-ES"/>
              </w:rPr>
              <w:t xml:space="preserve">El Paso, TX 79903 </w:t>
            </w:r>
          </w:p>
          <w:p w14:paraId="713B3347" w14:textId="77777777" w:rsidR="00D14DA6" w:rsidRPr="003B70B4" w:rsidRDefault="00D14DA6" w:rsidP="000C3162">
            <w:pPr>
              <w:keepNext/>
              <w:jc w:val="both"/>
              <w:rPr>
                <w:bCs/>
                <w:lang w:val="es-ES"/>
              </w:rPr>
            </w:pPr>
            <w:r w:rsidRPr="003B70B4">
              <w:rPr>
                <w:bCs/>
                <w:lang w:val="es-ES"/>
              </w:rPr>
              <w:t>(210) 424-9652</w:t>
            </w:r>
          </w:p>
          <w:p w14:paraId="072B0BE7" w14:textId="77777777" w:rsidR="00D14DA6" w:rsidRPr="003B70B4" w:rsidRDefault="00D14DA6" w:rsidP="000C3162">
            <w:pPr>
              <w:keepLines/>
              <w:jc w:val="both"/>
              <w:rPr>
                <w:bCs/>
                <w:lang w:val="es-ES"/>
              </w:rPr>
            </w:pPr>
            <w:r w:rsidRPr="003B70B4">
              <w:rPr>
                <w:bCs/>
                <w:lang w:val="es-ES"/>
              </w:rPr>
              <w:t>(915) 542-2676 (fax)</w:t>
            </w:r>
          </w:p>
          <w:p w14:paraId="19745FFB" w14:textId="77777777" w:rsidR="00D14DA6" w:rsidRPr="003B70B4" w:rsidRDefault="00D14DA6" w:rsidP="000C3162">
            <w:pPr>
              <w:keepLines/>
              <w:jc w:val="both"/>
              <w:rPr>
                <w:bCs/>
                <w:lang w:val="es-ES"/>
              </w:rPr>
            </w:pPr>
          </w:p>
          <w:p w14:paraId="2092E977" w14:textId="77777777" w:rsidR="00D14DA6" w:rsidRPr="003B70B4" w:rsidRDefault="00D14DA6" w:rsidP="000C3162">
            <w:pPr>
              <w:jc w:val="both"/>
              <w:rPr>
                <w:lang w:val="es-ES"/>
              </w:rPr>
            </w:pPr>
            <w:r w:rsidRPr="003B70B4">
              <w:rPr>
                <w:lang w:val="es-ES"/>
              </w:rPr>
              <w:t>Peter Hofer</w:t>
            </w:r>
          </w:p>
          <w:p w14:paraId="3F13466F" w14:textId="77777777" w:rsidR="00D14DA6" w:rsidRPr="001D561F" w:rsidRDefault="00D14DA6" w:rsidP="000C3162">
            <w:pPr>
              <w:jc w:val="both"/>
              <w:rPr>
                <w:bCs/>
              </w:rPr>
            </w:pPr>
            <w:r w:rsidRPr="001D561F">
              <w:rPr>
                <w:bCs/>
              </w:rPr>
              <w:t>Texas Bar No. 09777275</w:t>
            </w:r>
          </w:p>
          <w:p w14:paraId="6181DFBF" w14:textId="77777777" w:rsidR="00D14DA6" w:rsidRDefault="00D14DA6" w:rsidP="000C3162">
            <w:pPr>
              <w:jc w:val="both"/>
              <w:rPr>
                <w:bCs/>
              </w:rPr>
            </w:pPr>
            <w:r w:rsidRPr="00443061">
              <w:rPr>
                <w:bCs/>
              </w:rPr>
              <w:t>phofer@drtx.org</w:t>
            </w:r>
          </w:p>
          <w:p w14:paraId="4E7190E8" w14:textId="77777777" w:rsidR="00D14DA6" w:rsidRPr="005C75C5" w:rsidRDefault="00D14DA6" w:rsidP="000C3162">
            <w:pPr>
              <w:jc w:val="both"/>
              <w:rPr>
                <w:bCs/>
              </w:rPr>
            </w:pPr>
            <w:r w:rsidRPr="005C75C5">
              <w:rPr>
                <w:bCs/>
              </w:rPr>
              <w:t>Brian East</w:t>
            </w:r>
          </w:p>
          <w:p w14:paraId="75D0EB0C" w14:textId="77777777" w:rsidR="00D14DA6" w:rsidRDefault="00D14DA6" w:rsidP="000C3162">
            <w:pPr>
              <w:jc w:val="both"/>
              <w:rPr>
                <w:bCs/>
              </w:rPr>
            </w:pPr>
            <w:r w:rsidRPr="00674F85">
              <w:rPr>
                <w:bCs/>
              </w:rPr>
              <w:t>Texas Bar N</w:t>
            </w:r>
            <w:r>
              <w:rPr>
                <w:bCs/>
              </w:rPr>
              <w:t>o. 06360800</w:t>
            </w:r>
          </w:p>
          <w:p w14:paraId="6AD6123C" w14:textId="77777777" w:rsidR="00D14DA6" w:rsidRPr="00674F85" w:rsidRDefault="00D14DA6" w:rsidP="000C3162">
            <w:pPr>
              <w:jc w:val="both"/>
              <w:rPr>
                <w:bCs/>
              </w:rPr>
            </w:pPr>
            <w:r>
              <w:rPr>
                <w:bCs/>
              </w:rPr>
              <w:t>beast@disabilityrightstx.org</w:t>
            </w:r>
          </w:p>
          <w:p w14:paraId="318670C6" w14:textId="77777777" w:rsidR="00D14DA6" w:rsidRPr="001D561F" w:rsidRDefault="00D14DA6" w:rsidP="000C3162">
            <w:pPr>
              <w:jc w:val="both"/>
              <w:rPr>
                <w:b/>
              </w:rPr>
            </w:pPr>
            <w:r w:rsidRPr="001D561F">
              <w:rPr>
                <w:b/>
              </w:rPr>
              <w:t>DISABILITY RIGHTS TEXAS</w:t>
            </w:r>
          </w:p>
          <w:p w14:paraId="0DA121D7" w14:textId="77777777" w:rsidR="00D14DA6" w:rsidRPr="001D561F" w:rsidRDefault="00D14DA6" w:rsidP="000C3162">
            <w:pPr>
              <w:jc w:val="both"/>
              <w:rPr>
                <w:bCs/>
              </w:rPr>
            </w:pPr>
            <w:r w:rsidRPr="001D561F">
              <w:rPr>
                <w:bCs/>
              </w:rPr>
              <w:t>2222 West Braker Lane</w:t>
            </w:r>
          </w:p>
          <w:p w14:paraId="799BFAA3" w14:textId="77777777" w:rsidR="00D14DA6" w:rsidRPr="001D561F" w:rsidRDefault="00D14DA6" w:rsidP="000C3162">
            <w:pPr>
              <w:jc w:val="both"/>
              <w:rPr>
                <w:bCs/>
              </w:rPr>
            </w:pPr>
            <w:r w:rsidRPr="001D561F">
              <w:rPr>
                <w:bCs/>
              </w:rPr>
              <w:t>Austin, T</w:t>
            </w:r>
            <w:r>
              <w:rPr>
                <w:bCs/>
              </w:rPr>
              <w:t>X</w:t>
            </w:r>
            <w:r w:rsidRPr="001D561F">
              <w:rPr>
                <w:bCs/>
              </w:rPr>
              <w:t xml:space="preserve"> 78758</w:t>
            </w:r>
          </w:p>
          <w:p w14:paraId="6FEB2EA1" w14:textId="77777777" w:rsidR="00D14DA6" w:rsidRPr="001D561F" w:rsidRDefault="00D14DA6" w:rsidP="000C3162">
            <w:pPr>
              <w:jc w:val="both"/>
              <w:rPr>
                <w:bCs/>
              </w:rPr>
            </w:pPr>
            <w:r w:rsidRPr="001D561F">
              <w:rPr>
                <w:bCs/>
              </w:rPr>
              <w:t>(512) 407-2745</w:t>
            </w:r>
          </w:p>
          <w:p w14:paraId="2C68DA97" w14:textId="77777777" w:rsidR="00D14DA6" w:rsidRPr="001D561F" w:rsidRDefault="00D14DA6" w:rsidP="000C3162">
            <w:pPr>
              <w:jc w:val="both"/>
              <w:rPr>
                <w:bCs/>
              </w:rPr>
            </w:pPr>
            <w:r w:rsidRPr="001D561F">
              <w:rPr>
                <w:bCs/>
              </w:rPr>
              <w:t>(512) 454-3999 (fax)</w:t>
            </w:r>
          </w:p>
          <w:p w14:paraId="4D968F52" w14:textId="77777777" w:rsidR="00D14DA6" w:rsidRPr="001D561F" w:rsidRDefault="00D14DA6" w:rsidP="000C3162">
            <w:pPr>
              <w:jc w:val="both"/>
              <w:rPr>
                <w:b/>
              </w:rPr>
            </w:pPr>
          </w:p>
          <w:p w14:paraId="24052D09" w14:textId="77777777" w:rsidR="00D14DA6" w:rsidRPr="001D561F" w:rsidRDefault="00D14DA6" w:rsidP="000C3162">
            <w:pPr>
              <w:jc w:val="both"/>
              <w:rPr>
                <w:b/>
              </w:rPr>
            </w:pPr>
            <w:r w:rsidRPr="001D561F">
              <w:rPr>
                <w:b/>
              </w:rPr>
              <w:t>ATTORNEYS FOR PLAINTIFFS</w:t>
            </w:r>
          </w:p>
        </w:tc>
      </w:tr>
      <w:tr w:rsidR="00D14DA6" w14:paraId="0F121A79" w14:textId="77777777" w:rsidTr="000C3162">
        <w:trPr>
          <w:trHeight w:val="1160"/>
        </w:trPr>
        <w:tc>
          <w:tcPr>
            <w:tcW w:w="4338" w:type="dxa"/>
            <w:gridSpan w:val="2"/>
            <w:tcBorders>
              <w:top w:val="nil"/>
              <w:bottom w:val="nil"/>
            </w:tcBorders>
          </w:tcPr>
          <w:p w14:paraId="32E4DB98" w14:textId="77777777" w:rsidR="00D14DA6" w:rsidRDefault="00D14DA6" w:rsidP="000C3162">
            <w:pPr>
              <w:widowControl w:val="0"/>
              <w:tabs>
                <w:tab w:val="left" w:pos="4320"/>
                <w:tab w:val="left" w:pos="4860"/>
                <w:tab w:val="left" w:pos="8640"/>
              </w:tabs>
            </w:pPr>
          </w:p>
        </w:tc>
        <w:tc>
          <w:tcPr>
            <w:tcW w:w="5112" w:type="dxa"/>
            <w:tcBorders>
              <w:top w:val="nil"/>
              <w:bottom w:val="nil"/>
            </w:tcBorders>
          </w:tcPr>
          <w:p w14:paraId="10C92160" w14:textId="77777777" w:rsidR="00D14DA6" w:rsidRPr="001D561F" w:rsidRDefault="00D14DA6" w:rsidP="000C3162">
            <w:pPr>
              <w:jc w:val="both"/>
              <w:rPr>
                <w:u w:val="single"/>
              </w:rPr>
            </w:pPr>
          </w:p>
        </w:tc>
      </w:tr>
    </w:tbl>
    <w:p w14:paraId="448E4915" w14:textId="77777777" w:rsidR="00D14DA6" w:rsidRPr="00466D42" w:rsidRDefault="00D14DA6" w:rsidP="00D14DA6">
      <w:pPr>
        <w:jc w:val="center"/>
        <w:rPr>
          <w:b/>
          <w:u w:val="single"/>
        </w:rPr>
      </w:pPr>
      <w:r w:rsidRPr="00466D42">
        <w:rPr>
          <w:b/>
          <w:u w:val="single"/>
        </w:rPr>
        <w:t>CERTIFICATE OF SERVICE</w:t>
      </w:r>
    </w:p>
    <w:p w14:paraId="21967C27" w14:textId="77777777" w:rsidR="00D14DA6" w:rsidRDefault="00D14DA6" w:rsidP="00D14DA6"/>
    <w:p w14:paraId="2525AF9F" w14:textId="13AC174C" w:rsidR="00D14DA6" w:rsidRPr="007E55A0" w:rsidRDefault="00D14DA6" w:rsidP="00D14DA6">
      <w:pPr>
        <w:spacing w:after="243" w:line="238" w:lineRule="auto"/>
        <w:ind w:left="2" w:firstLine="720"/>
        <w:jc w:val="both"/>
        <w:rPr>
          <w:rFonts w:eastAsia="Times New Roman"/>
          <w:szCs w:val="22"/>
        </w:rPr>
      </w:pPr>
      <w:r>
        <w:t xml:space="preserve">The undersigned certifies that counsel of record who are deemed to have consented to electronic service are being served with a copy of this document via the Court’s CM/ECF system on </w:t>
      </w:r>
      <w:r>
        <w:fldChar w:fldCharType="begin"/>
      </w:r>
      <w:r>
        <w:instrText xml:space="preserve"> DATE \@ "MMMM d, yyyy" </w:instrText>
      </w:r>
      <w:r>
        <w:fldChar w:fldCharType="separate"/>
      </w:r>
      <w:r w:rsidR="00BF3A46">
        <w:rPr>
          <w:noProof/>
        </w:rPr>
        <w:t>September 30, 2021</w:t>
      </w:r>
      <w:r>
        <w:fldChar w:fldCharType="end"/>
      </w:r>
      <w:r>
        <w:t xml:space="preserve">. </w:t>
      </w:r>
      <w:r>
        <w:tab/>
        <w:t xml:space="preserve"> </w:t>
      </w:r>
      <w:r>
        <w:tab/>
      </w:r>
    </w:p>
    <w:p w14:paraId="31CF3D3B" w14:textId="77777777" w:rsidR="00D14DA6" w:rsidRDefault="00D14DA6" w:rsidP="00D14DA6">
      <w:pPr>
        <w:spacing w:line="238" w:lineRule="auto"/>
        <w:ind w:left="737"/>
        <w:rPr>
          <w:rFonts w:eastAsia="Times New Roman"/>
          <w:szCs w:val="22"/>
        </w:rPr>
      </w:pPr>
      <w:r w:rsidRPr="007E55A0">
        <w:rPr>
          <w:rFonts w:eastAsia="Times New Roman"/>
          <w:szCs w:val="22"/>
        </w:rPr>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r>
      <w:r w:rsidRPr="007E55A0">
        <w:rPr>
          <w:rFonts w:eastAsia="Times New Roman"/>
          <w:i/>
          <w:szCs w:val="22"/>
          <w:u w:val="single" w:color="000000"/>
        </w:rPr>
        <w:t>/s/</w:t>
      </w:r>
      <w:r>
        <w:rPr>
          <w:rFonts w:eastAsia="Times New Roman"/>
          <w:i/>
          <w:szCs w:val="22"/>
          <w:u w:val="single" w:color="000000"/>
        </w:rPr>
        <w:t>Thomas Melsheimer</w:t>
      </w:r>
      <w:r w:rsidRPr="007E55A0">
        <w:rPr>
          <w:rFonts w:eastAsia="Times New Roman"/>
          <w:i/>
          <w:szCs w:val="22"/>
          <w:u w:val="single" w:color="000000"/>
        </w:rPr>
        <w:t xml:space="preserve">  </w:t>
      </w:r>
      <w:r w:rsidRPr="007E55A0">
        <w:rPr>
          <w:rFonts w:eastAsia="Times New Roman"/>
          <w:i/>
          <w:szCs w:val="22"/>
          <w:u w:val="single" w:color="000000"/>
        </w:rPr>
        <w:tab/>
        <w:t xml:space="preserve"> </w:t>
      </w:r>
      <w:r w:rsidRPr="007E55A0">
        <w:rPr>
          <w:rFonts w:eastAsia="Times New Roman"/>
          <w:i/>
          <w:szCs w:val="22"/>
          <w:u w:val="single" w:color="000000"/>
        </w:rPr>
        <w:tab/>
      </w:r>
      <w:r w:rsidRPr="007E55A0">
        <w:rPr>
          <w:rFonts w:eastAsia="Times New Roman"/>
          <w:szCs w:val="22"/>
        </w:rPr>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t xml:space="preserve"> </w:t>
      </w:r>
      <w:r w:rsidRPr="007E55A0">
        <w:rPr>
          <w:rFonts w:eastAsia="Times New Roman"/>
          <w:szCs w:val="22"/>
        </w:rPr>
        <w:tab/>
      </w:r>
      <w:r w:rsidRPr="007E55A0">
        <w:rPr>
          <w:rFonts w:eastAsia="Times New Roman"/>
          <w:szCs w:val="22"/>
        </w:rPr>
        <w:tab/>
      </w:r>
      <w:r w:rsidRPr="007E55A0">
        <w:rPr>
          <w:rFonts w:eastAsia="Times New Roman"/>
          <w:szCs w:val="22"/>
        </w:rPr>
        <w:tab/>
      </w:r>
      <w:r>
        <w:rPr>
          <w:rFonts w:eastAsia="Times New Roman"/>
          <w:szCs w:val="22"/>
        </w:rPr>
        <w:t>Thomas Melsheimer</w:t>
      </w:r>
      <w:r w:rsidRPr="007E55A0">
        <w:rPr>
          <w:rFonts w:eastAsia="Times New Roman"/>
          <w:szCs w:val="22"/>
        </w:rPr>
        <w:t xml:space="preserve"> </w:t>
      </w:r>
    </w:p>
    <w:p w14:paraId="766CCB6F" w14:textId="77777777" w:rsidR="00D14DA6" w:rsidRDefault="00D14DA6" w:rsidP="00D14DA6">
      <w:pPr>
        <w:tabs>
          <w:tab w:val="left" w:pos="4320"/>
          <w:tab w:val="left" w:pos="4860"/>
          <w:tab w:val="left" w:pos="8640"/>
        </w:tabs>
        <w:ind w:left="4860" w:hanging="4860"/>
      </w:pPr>
    </w:p>
    <w:p w14:paraId="3E0CEE74" w14:textId="77777777" w:rsidR="00D14DA6" w:rsidRPr="00DA5613" w:rsidRDefault="00D14DA6" w:rsidP="00D14DA6">
      <w:pPr>
        <w:spacing w:line="480" w:lineRule="auto"/>
        <w:rPr>
          <w:rFonts w:asciiTheme="minorHAnsi" w:hAnsiTheme="minorHAnsi" w:cstheme="minorHAnsi"/>
        </w:rPr>
      </w:pPr>
    </w:p>
    <w:sectPr w:rsidR="00D14DA6" w:rsidRPr="00DA5613" w:rsidSect="00EC4CE6">
      <w:pgSz w:w="12240" w:h="15840" w:code="1"/>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rgValue="AgBwAGwAZQBhAGQAaQBuAGcAdABsAHMAXwAxAA==" wne:acdName="acd1" wne:fciIndexBasedOn="0065"/>
    <wne:acd wne:argValue="AgBwAGwAZQBhAGQAaQBuAGcAdABsAHMAXwAyAA==" wne:acdName="acd2" wne:fciIndexBasedOn="0065"/>
    <wne:acd wne:argValue="AgBwAGwAZQBhAGQAaQBuAGcAdABsAHMAXwAzAA==" wne:acdName="acd3" wne:fciIndexBasedOn="0065"/>
    <wne:acd wne:argValue="AgBwAGwAZQBhAGQAaQBuAGcAdABsAHMAXwA0AA==" wne:acdName="acd4" wne:fciIndexBasedOn="0065"/>
    <wne:acd wne:argValue="AgBwAGwAZQBhAGQAaQBuAGcAdABsAHMAXwA1AA==" wne:acdName="acd5" wne:fciIndexBasedOn="0065"/>
    <wne:acd wne:argValue="AgBwAGwAZQBhAGQAaQBuAGcAdABsAHMAXwA2AA==" wne:acdName="acd6" wne:fciIndexBasedOn="0065"/>
    <wne:acd wne:argValue="AgBwAGwAZQBhAGQAaQBuAGcAdABsAHMAXwA3AA==" wne:acdName="acd7" wne:fciIndexBasedOn="0065"/>
    <wne:acd wne:argValue="AgBwAGwAZQBhAGQAaQBuAGcAdABsAHMAXwA4AA==" wne:acdName="acd8" wne:fciIndexBasedOn="0065"/>
    <wne:acd wne:argValue="AgBwAGwAZQBhAGQAaQBuAGcAdABsAHMAXwA5AA==" wne:acdName="acd9"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DCF9" w14:textId="77777777" w:rsidR="0028453C" w:rsidRDefault="0028453C" w:rsidP="0080695F">
      <w:r>
        <w:separator/>
      </w:r>
    </w:p>
  </w:endnote>
  <w:endnote w:type="continuationSeparator" w:id="0">
    <w:p w14:paraId="62BA8629" w14:textId="77777777" w:rsidR="0028453C" w:rsidRDefault="0028453C" w:rsidP="0080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29732"/>
      <w:docPartObj>
        <w:docPartGallery w:val="Page Numbers (Bottom of Page)"/>
        <w:docPartUnique/>
      </w:docPartObj>
    </w:sdtPr>
    <w:sdtEndPr>
      <w:rPr>
        <w:noProof/>
      </w:rPr>
    </w:sdtEndPr>
    <w:sdtContent>
      <w:p w14:paraId="64B0CBB8" w14:textId="56972851" w:rsidR="00734FC1" w:rsidRDefault="00734FC1">
        <w:pPr>
          <w:pStyle w:val="Footer"/>
          <w:jc w:val="center"/>
        </w:pPr>
        <w:r>
          <w:fldChar w:fldCharType="begin"/>
        </w:r>
        <w:r>
          <w:instrText xml:space="preserve"> PAGE   \* MERGEFORMAT </w:instrText>
        </w:r>
        <w:r>
          <w:fldChar w:fldCharType="separate"/>
        </w:r>
        <w:r w:rsidR="00BF3A46">
          <w:rPr>
            <w:noProof/>
          </w:rPr>
          <w:t>2</w:t>
        </w:r>
        <w:r>
          <w:rPr>
            <w:noProof/>
          </w:rPr>
          <w:fldChar w:fldCharType="end"/>
        </w:r>
      </w:p>
    </w:sdtContent>
  </w:sdt>
  <w:p w14:paraId="26894D14" w14:textId="77777777" w:rsidR="0080695F" w:rsidRPr="002F433D" w:rsidRDefault="00806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5949E" w14:textId="77777777" w:rsidR="0028453C" w:rsidRDefault="0028453C" w:rsidP="0080695F">
      <w:r>
        <w:separator/>
      </w:r>
    </w:p>
  </w:footnote>
  <w:footnote w:type="continuationSeparator" w:id="0">
    <w:p w14:paraId="5F0AE0F9" w14:textId="77777777" w:rsidR="0028453C" w:rsidRDefault="0028453C" w:rsidP="0080695F">
      <w:r>
        <w:continuationSeparator/>
      </w:r>
    </w:p>
  </w:footnote>
  <w:footnote w:id="1">
    <w:p w14:paraId="7E57ED3A" w14:textId="3B56D0AB" w:rsidR="00EA49DE" w:rsidRPr="00B80A44" w:rsidRDefault="00EA49DE"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Allyson Waller, et al., </w:t>
      </w:r>
      <w:r w:rsidRPr="00B80A44">
        <w:rPr>
          <w:rFonts w:asciiTheme="minorHAnsi" w:hAnsiTheme="minorHAnsi" w:cstheme="minorHAnsi"/>
          <w:i/>
          <w:iCs/>
          <w:sz w:val="24"/>
          <w:szCs w:val="24"/>
        </w:rPr>
        <w:t>At least 45 districts shut down in-person classes due to COVID-19 cases</w:t>
      </w:r>
      <w:r w:rsidRPr="00B80A44">
        <w:rPr>
          <w:rFonts w:asciiTheme="minorHAnsi" w:hAnsiTheme="minorHAnsi" w:cstheme="minorHAnsi"/>
          <w:sz w:val="24"/>
          <w:szCs w:val="24"/>
        </w:rPr>
        <w:t xml:space="preserve">, affecting more than 40,000 students, </w:t>
      </w:r>
      <w:r w:rsidRPr="00B80A44">
        <w:rPr>
          <w:rFonts w:asciiTheme="minorHAnsi" w:hAnsiTheme="minorHAnsi" w:cstheme="minorHAnsi"/>
          <w:smallCaps/>
          <w:sz w:val="24"/>
          <w:szCs w:val="24"/>
        </w:rPr>
        <w:t>The Texas Tribune</w:t>
      </w:r>
      <w:r w:rsidRPr="00B80A44">
        <w:rPr>
          <w:rFonts w:asciiTheme="minorHAnsi" w:hAnsiTheme="minorHAnsi" w:cstheme="minorHAnsi"/>
          <w:sz w:val="24"/>
          <w:szCs w:val="24"/>
        </w:rPr>
        <w:t xml:space="preserve">, September 3, 2021, </w:t>
      </w:r>
      <w:r w:rsidRPr="00B80A44">
        <w:rPr>
          <w:rFonts w:asciiTheme="minorHAnsi" w:hAnsiTheme="minorHAnsi" w:cstheme="minorHAnsi"/>
          <w:i/>
          <w:iCs/>
          <w:sz w:val="24"/>
          <w:szCs w:val="24"/>
        </w:rPr>
        <w:t>available at</w:t>
      </w:r>
      <w:r w:rsidRPr="00B80A44">
        <w:rPr>
          <w:rFonts w:asciiTheme="minorHAnsi" w:hAnsiTheme="minorHAnsi" w:cstheme="minorHAnsi"/>
          <w:sz w:val="24"/>
          <w:szCs w:val="24"/>
        </w:rPr>
        <w:t xml:space="preserve"> </w:t>
      </w:r>
      <w:hyperlink r:id="rId1" w:history="1">
        <w:r w:rsidRPr="00B80A44">
          <w:rPr>
            <w:rStyle w:val="Hyperlink"/>
            <w:rFonts w:asciiTheme="minorHAnsi" w:hAnsiTheme="minorHAnsi" w:cstheme="minorHAnsi"/>
            <w:sz w:val="24"/>
            <w:szCs w:val="24"/>
          </w:rPr>
          <w:t>https://www.texastribune.org/2021/09/03/texas-covid-school-districts-shut-down/</w:t>
        </w:r>
      </w:hyperlink>
      <w:r w:rsidRPr="00B80A44">
        <w:rPr>
          <w:rFonts w:asciiTheme="minorHAnsi" w:hAnsiTheme="minorHAnsi" w:cstheme="minorHAnsi"/>
          <w:sz w:val="24"/>
          <w:szCs w:val="24"/>
        </w:rPr>
        <w:t xml:space="preserve"> (last accessed on September 25, 2021).</w:t>
      </w:r>
    </w:p>
    <w:p w14:paraId="0C900B03" w14:textId="77777777" w:rsidR="00E72677" w:rsidRPr="00B80A44" w:rsidRDefault="00E72677" w:rsidP="00545E56">
      <w:pPr>
        <w:pStyle w:val="FootnoteText"/>
        <w:rPr>
          <w:rFonts w:asciiTheme="minorHAnsi" w:hAnsiTheme="minorHAnsi" w:cstheme="minorHAnsi"/>
          <w:sz w:val="24"/>
          <w:szCs w:val="24"/>
        </w:rPr>
      </w:pPr>
    </w:p>
  </w:footnote>
  <w:footnote w:id="2">
    <w:p w14:paraId="187449BA" w14:textId="71E20A26" w:rsidR="008C5B2E" w:rsidRPr="00B80A44" w:rsidRDefault="008C5B2E"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Plaintiff E.T. </w:t>
      </w:r>
      <w:r w:rsidR="00D75B35" w:rsidRPr="00B80A44">
        <w:rPr>
          <w:rFonts w:asciiTheme="minorHAnsi" w:hAnsiTheme="minorHAnsi" w:cstheme="minorHAnsi"/>
          <w:sz w:val="24"/>
          <w:szCs w:val="24"/>
        </w:rPr>
        <w:t xml:space="preserve">recently turned </w:t>
      </w:r>
      <w:r w:rsidRPr="00B80A44">
        <w:rPr>
          <w:rFonts w:asciiTheme="minorHAnsi" w:hAnsiTheme="minorHAnsi" w:cstheme="minorHAnsi"/>
          <w:sz w:val="24"/>
          <w:szCs w:val="24"/>
        </w:rPr>
        <w:t xml:space="preserve">12 years old and has an immune deficiency among other disabilities. </w:t>
      </w:r>
      <w:r w:rsidR="00D75B35" w:rsidRPr="00B80A44">
        <w:rPr>
          <w:rFonts w:asciiTheme="minorHAnsi" w:hAnsiTheme="minorHAnsi" w:cstheme="minorHAnsi"/>
          <w:sz w:val="24"/>
          <w:szCs w:val="24"/>
        </w:rPr>
        <w:t xml:space="preserve">Ex. </w:t>
      </w:r>
      <w:r w:rsidR="008512C1" w:rsidRPr="00B80A44">
        <w:rPr>
          <w:rFonts w:asciiTheme="minorHAnsi" w:hAnsiTheme="minorHAnsi" w:cstheme="minorHAnsi"/>
          <w:sz w:val="24"/>
          <w:szCs w:val="24"/>
        </w:rPr>
        <w:t>15</w:t>
      </w:r>
      <w:r w:rsidR="009A6217" w:rsidRPr="00B80A44">
        <w:rPr>
          <w:rFonts w:asciiTheme="minorHAnsi" w:hAnsiTheme="minorHAnsi" w:cstheme="minorHAnsi"/>
          <w:sz w:val="24"/>
          <w:szCs w:val="24"/>
        </w:rPr>
        <w:t>,</w:t>
      </w:r>
      <w:r w:rsidR="00D75B35"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00D75B35" w:rsidRPr="00B80A44">
        <w:rPr>
          <w:rFonts w:asciiTheme="minorHAnsi" w:hAnsiTheme="minorHAnsi" w:cstheme="minorHAnsi"/>
          <w:sz w:val="24"/>
          <w:szCs w:val="24"/>
        </w:rPr>
        <w:t xml:space="preserve"> 9 (Dr. Alexander Yudovich Report); Ex. </w:t>
      </w:r>
      <w:r w:rsidR="008512C1" w:rsidRPr="00B80A44">
        <w:rPr>
          <w:rFonts w:asciiTheme="minorHAnsi" w:hAnsiTheme="minorHAnsi" w:cstheme="minorHAnsi"/>
          <w:sz w:val="24"/>
          <w:szCs w:val="24"/>
        </w:rPr>
        <w:t>14</w:t>
      </w:r>
      <w:r w:rsidR="00D75B35" w:rsidRPr="00B80A44">
        <w:rPr>
          <w:rFonts w:asciiTheme="minorHAnsi" w:hAnsiTheme="minorHAnsi" w:cstheme="minorHAnsi"/>
          <w:sz w:val="24"/>
          <w:szCs w:val="24"/>
        </w:rPr>
        <w:t xml:space="preserve"> (Plaintiffs’ Proposed Stipulated Client Facts Chart). Despite the fact E.T. is recently eligible for the vaccine, the vaccine alone may not </w:t>
      </w:r>
      <w:r w:rsidR="009D3ABD" w:rsidRPr="00B80A44">
        <w:rPr>
          <w:rFonts w:asciiTheme="minorHAnsi" w:hAnsiTheme="minorHAnsi" w:cstheme="minorHAnsi"/>
          <w:sz w:val="24"/>
          <w:szCs w:val="24"/>
        </w:rPr>
        <w:t>provide</w:t>
      </w:r>
      <w:r w:rsidR="00D75B35" w:rsidRPr="00B80A44">
        <w:rPr>
          <w:rFonts w:asciiTheme="minorHAnsi" w:hAnsiTheme="minorHAnsi" w:cstheme="minorHAnsi"/>
          <w:sz w:val="24"/>
          <w:szCs w:val="24"/>
        </w:rPr>
        <w:t xml:space="preserve"> sufficient protection against COVID-19, as children over 12 who experience immunosuppression are less likely to respond to the vaccine and remain at risk for infection similar to an unvaccinated child. Ex. </w:t>
      </w:r>
      <w:r w:rsidR="008512C1" w:rsidRPr="00B80A44">
        <w:rPr>
          <w:rFonts w:asciiTheme="minorHAnsi" w:hAnsiTheme="minorHAnsi" w:cstheme="minorHAnsi"/>
          <w:sz w:val="24"/>
          <w:szCs w:val="24"/>
        </w:rPr>
        <w:t>18</w:t>
      </w:r>
      <w:r w:rsidR="009A6217" w:rsidRPr="00B80A44">
        <w:rPr>
          <w:rFonts w:asciiTheme="minorHAnsi" w:hAnsiTheme="minorHAnsi" w:cstheme="minorHAnsi"/>
          <w:sz w:val="24"/>
          <w:szCs w:val="24"/>
        </w:rPr>
        <w:t>,</w:t>
      </w:r>
      <w:r w:rsidR="00D75B35"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00D75B35" w:rsidRPr="00B80A44">
        <w:rPr>
          <w:rFonts w:asciiTheme="minorHAnsi" w:hAnsiTheme="minorHAnsi" w:cstheme="minorHAnsi"/>
          <w:sz w:val="24"/>
          <w:szCs w:val="24"/>
        </w:rPr>
        <w:t xml:space="preserve"> 15 (Dr. Ben Greenberg Affidavit).</w:t>
      </w:r>
    </w:p>
  </w:footnote>
  <w:footnote w:id="3">
    <w:p w14:paraId="4954F355" w14:textId="0EA27D3E" w:rsidR="0068405A" w:rsidRPr="00B80A44" w:rsidRDefault="0068405A" w:rsidP="00254359">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(Stipulated Facts).</w:t>
      </w:r>
    </w:p>
  </w:footnote>
  <w:footnote w:id="4">
    <w:p w14:paraId="4CE6B1EF" w14:textId="10DFF598" w:rsidR="008C5B2E" w:rsidRPr="00B80A44" w:rsidRDefault="008C5B2E"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5">
    <w:p w14:paraId="38FD4F2A" w14:textId="0AAB78E9" w:rsidR="0068405A" w:rsidRPr="00B80A44" w:rsidRDefault="0068405A"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226</w:t>
      </w:r>
      <w:r w:rsidR="00590AE0" w:rsidRPr="00B80A44">
        <w:rPr>
          <w:rFonts w:asciiTheme="minorHAnsi" w:hAnsiTheme="minorHAnsi" w:cstheme="minorHAnsi"/>
          <w:sz w:val="24"/>
          <w:szCs w:val="24"/>
        </w:rPr>
        <w:t>,</w:t>
      </w:r>
      <w:r w:rsidRPr="00B80A44">
        <w:rPr>
          <w:rFonts w:asciiTheme="minorHAnsi" w:hAnsiTheme="minorHAnsi" w:cstheme="minorHAnsi"/>
          <w:sz w:val="24"/>
          <w:szCs w:val="24"/>
        </w:rPr>
        <w:t xml:space="preserve"> ¶¶ 12-13 (Declaration of K.P. Regarding Student M.P.</w:t>
      </w:r>
      <w:r w:rsidR="009848BC" w:rsidRPr="00B80A44">
        <w:rPr>
          <w:rFonts w:asciiTheme="minorHAnsi" w:hAnsiTheme="minorHAnsi" w:cstheme="minorHAnsi"/>
          <w:sz w:val="24"/>
          <w:szCs w:val="24"/>
        </w:rPr>
        <w:t xml:space="preserve"> – September 12</w:t>
      </w:r>
      <w:r w:rsidRPr="00B80A44">
        <w:rPr>
          <w:rFonts w:asciiTheme="minorHAnsi" w:hAnsiTheme="minorHAnsi" w:cstheme="minorHAnsi"/>
          <w:sz w:val="24"/>
          <w:szCs w:val="24"/>
        </w:rPr>
        <w:t>).</w:t>
      </w:r>
    </w:p>
  </w:footnote>
  <w:footnote w:id="6">
    <w:p w14:paraId="2FB48052" w14:textId="0E3047BF" w:rsidR="0068405A" w:rsidRPr="00B80A44" w:rsidRDefault="0068405A"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8512C1" w:rsidRPr="00B80A44">
        <w:rPr>
          <w:rFonts w:asciiTheme="minorHAnsi" w:hAnsiTheme="minorHAnsi" w:cstheme="minorHAnsi"/>
          <w:i/>
          <w:iCs/>
          <w:sz w:val="24"/>
          <w:szCs w:val="24"/>
        </w:rPr>
        <w:t>Id</w:t>
      </w:r>
      <w:r w:rsidR="008512C1" w:rsidRPr="00B80A44">
        <w:rPr>
          <w:rFonts w:asciiTheme="minorHAnsi" w:hAnsiTheme="minorHAnsi" w:cstheme="minorHAnsi"/>
          <w:sz w:val="24"/>
          <w:szCs w:val="24"/>
        </w:rPr>
        <w:t>.</w:t>
      </w:r>
      <w:r w:rsidR="00590AE0" w:rsidRPr="00B80A44">
        <w:rPr>
          <w:rFonts w:asciiTheme="minorHAnsi" w:hAnsiTheme="minorHAnsi" w:cstheme="minorHAnsi"/>
          <w:sz w:val="24"/>
          <w:szCs w:val="24"/>
        </w:rPr>
        <w:t>,</w:t>
      </w:r>
      <w:r w:rsidRPr="00B80A44">
        <w:rPr>
          <w:rFonts w:asciiTheme="minorHAnsi" w:hAnsiTheme="minorHAnsi" w:cstheme="minorHAnsi"/>
          <w:sz w:val="24"/>
          <w:szCs w:val="24"/>
        </w:rPr>
        <w:t xml:space="preserve"> ¶¶ 7-9</w:t>
      </w:r>
      <w:r w:rsidR="008512C1" w:rsidRPr="00B80A44">
        <w:rPr>
          <w:rFonts w:asciiTheme="minorHAnsi" w:hAnsiTheme="minorHAnsi" w:cstheme="minorHAnsi"/>
          <w:sz w:val="24"/>
          <w:szCs w:val="24"/>
        </w:rPr>
        <w:t>.</w:t>
      </w:r>
    </w:p>
  </w:footnote>
  <w:footnote w:id="7">
    <w:p w14:paraId="1B51DAD9" w14:textId="74FEB1BD" w:rsidR="0068405A" w:rsidRPr="00B80A44" w:rsidRDefault="0068405A"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8">
    <w:p w14:paraId="0CCF4C62" w14:textId="6F4A3DC3" w:rsidR="0068405A" w:rsidRPr="00B80A44" w:rsidRDefault="0068405A"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8512C1" w:rsidRPr="00B80A44">
        <w:rPr>
          <w:rFonts w:asciiTheme="minorHAnsi" w:hAnsiTheme="minorHAnsi" w:cstheme="minorHAnsi"/>
          <w:sz w:val="24"/>
          <w:szCs w:val="24"/>
        </w:rPr>
        <w:t>Ex. 227</w:t>
      </w:r>
      <w:r w:rsidR="00590AE0" w:rsidRPr="00B80A44">
        <w:rPr>
          <w:rFonts w:asciiTheme="minorHAnsi" w:hAnsiTheme="minorHAnsi" w:cstheme="minorHAnsi"/>
          <w:sz w:val="24"/>
          <w:szCs w:val="24"/>
        </w:rPr>
        <w:t>,</w:t>
      </w:r>
      <w:r w:rsidR="008512C1" w:rsidRPr="00B80A44">
        <w:rPr>
          <w:rFonts w:asciiTheme="minorHAnsi" w:hAnsiTheme="minorHAnsi" w:cstheme="minorHAnsi"/>
          <w:i/>
          <w:iCs/>
          <w:sz w:val="24"/>
          <w:szCs w:val="24"/>
        </w:rPr>
        <w:t xml:space="preserve"> ¶¶ </w:t>
      </w:r>
      <w:r w:rsidR="008512C1" w:rsidRPr="00B80A44">
        <w:rPr>
          <w:rFonts w:asciiTheme="minorHAnsi" w:hAnsiTheme="minorHAnsi" w:cstheme="minorHAnsi"/>
          <w:sz w:val="24"/>
          <w:szCs w:val="24"/>
        </w:rPr>
        <w:t xml:space="preserve">2-3 (Declaration of K.P. Regarding Student M.P. </w:t>
      </w:r>
      <w:r w:rsidR="00F24822" w:rsidRPr="00B80A44">
        <w:rPr>
          <w:rFonts w:asciiTheme="minorHAnsi" w:hAnsiTheme="minorHAnsi" w:cstheme="minorHAnsi"/>
          <w:sz w:val="24"/>
          <w:szCs w:val="24"/>
        </w:rPr>
        <w:t>–</w:t>
      </w:r>
      <w:r w:rsidR="008512C1" w:rsidRPr="00B80A44">
        <w:rPr>
          <w:rFonts w:asciiTheme="minorHAnsi" w:hAnsiTheme="minorHAnsi" w:cstheme="minorHAnsi"/>
          <w:sz w:val="24"/>
          <w:szCs w:val="24"/>
        </w:rPr>
        <w:t xml:space="preserve"> </w:t>
      </w:r>
      <w:r w:rsidR="00F24822" w:rsidRPr="00B80A44">
        <w:rPr>
          <w:rFonts w:asciiTheme="minorHAnsi" w:hAnsiTheme="minorHAnsi" w:cstheme="minorHAnsi"/>
          <w:sz w:val="24"/>
          <w:szCs w:val="24"/>
        </w:rPr>
        <w:t>September 28)</w:t>
      </w:r>
      <w:r w:rsidR="008512C1" w:rsidRPr="00B80A44">
        <w:rPr>
          <w:rFonts w:asciiTheme="minorHAnsi" w:hAnsiTheme="minorHAnsi" w:cstheme="minorHAnsi"/>
          <w:sz w:val="24"/>
          <w:szCs w:val="24"/>
        </w:rPr>
        <w:t>.</w:t>
      </w:r>
    </w:p>
  </w:footnote>
  <w:footnote w:id="9">
    <w:p w14:paraId="5F4BF434" w14:textId="679266B1" w:rsidR="0068405A" w:rsidRPr="00B80A44" w:rsidRDefault="0068405A"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10">
    <w:p w14:paraId="6EF31E08" w14:textId="7CD49E9B" w:rsidR="008C5B2E" w:rsidRPr="00B80A44" w:rsidRDefault="008C5B2E"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(Stipulated Facts).</w:t>
      </w:r>
    </w:p>
  </w:footnote>
  <w:footnote w:id="11">
    <w:p w14:paraId="08E5B9EE" w14:textId="261E392C" w:rsidR="00DC5553" w:rsidRPr="00B80A44" w:rsidRDefault="00DC5553"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w:t>
      </w:r>
    </w:p>
  </w:footnote>
  <w:footnote w:id="12">
    <w:p w14:paraId="4BF72FE4" w14:textId="65E4F246" w:rsidR="00DC5553" w:rsidRPr="00B80A44" w:rsidRDefault="00DC5553"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13">
    <w:p w14:paraId="05D6B41E" w14:textId="4A62809C" w:rsidR="00DC5553" w:rsidRPr="00B80A44" w:rsidRDefault="00DC5553"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14">
    <w:p w14:paraId="49766EFE" w14:textId="03D59C52" w:rsidR="008F67E1" w:rsidRPr="00B80A44" w:rsidRDefault="008F67E1"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Pr="00B80A44">
        <w:rPr>
          <w:rFonts w:asciiTheme="minorHAnsi" w:hAnsiTheme="minorHAnsi" w:cstheme="minorHAnsi"/>
          <w:sz w:val="24"/>
          <w:szCs w:val="24"/>
        </w:rPr>
        <w:t>).</w:t>
      </w:r>
    </w:p>
  </w:footnote>
  <w:footnote w:id="15">
    <w:p w14:paraId="32CCCBF5" w14:textId="4820AB0B" w:rsidR="009848BC" w:rsidRPr="00B80A44" w:rsidRDefault="009848BC"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w:t>
      </w:r>
    </w:p>
  </w:footnote>
  <w:footnote w:id="16">
    <w:p w14:paraId="0362BA61" w14:textId="6D3D1F0F" w:rsidR="009848BC" w:rsidRPr="00B80A44" w:rsidRDefault="009848BC"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F24822" w:rsidRPr="00B80A44">
        <w:rPr>
          <w:rFonts w:asciiTheme="minorHAnsi" w:hAnsiTheme="minorHAnsi" w:cstheme="minorHAnsi"/>
          <w:sz w:val="24"/>
          <w:szCs w:val="24"/>
        </w:rPr>
        <w:t>220</w:t>
      </w:r>
      <w:r w:rsidR="00590AE0" w:rsidRPr="00B80A44">
        <w:rPr>
          <w:rFonts w:asciiTheme="minorHAnsi" w:hAnsiTheme="minorHAnsi" w:cstheme="minorHAnsi"/>
          <w:sz w:val="24"/>
          <w:szCs w:val="24"/>
        </w:rPr>
        <w:t>,</w:t>
      </w:r>
      <w:r w:rsidR="00EB4DF1"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00EB4DF1" w:rsidRPr="00B80A44">
        <w:rPr>
          <w:rFonts w:asciiTheme="minorHAnsi" w:hAnsiTheme="minorHAnsi" w:cstheme="minorHAnsi"/>
          <w:sz w:val="24"/>
          <w:szCs w:val="24"/>
        </w:rPr>
        <w:t xml:space="preserve"> 5</w:t>
      </w:r>
      <w:r w:rsidRPr="00B80A44">
        <w:rPr>
          <w:rFonts w:asciiTheme="minorHAnsi" w:hAnsiTheme="minorHAnsi" w:cstheme="minorHAnsi"/>
          <w:sz w:val="24"/>
          <w:szCs w:val="24"/>
        </w:rPr>
        <w:t xml:space="preserve"> (SP Declaration Regarding SP – August 17)</w:t>
      </w:r>
      <w:r w:rsidR="009D3121" w:rsidRPr="00B80A44">
        <w:rPr>
          <w:rFonts w:asciiTheme="minorHAnsi" w:hAnsiTheme="minorHAnsi" w:cstheme="minorHAnsi"/>
          <w:sz w:val="24"/>
          <w:szCs w:val="24"/>
        </w:rPr>
        <w:t>.</w:t>
      </w:r>
    </w:p>
  </w:footnote>
  <w:footnote w:id="17">
    <w:p w14:paraId="5A91A641" w14:textId="34DA9A94" w:rsidR="009D3121" w:rsidRPr="00B80A44" w:rsidRDefault="009D3121"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Pr="00B80A44">
        <w:rPr>
          <w:rFonts w:asciiTheme="minorHAnsi" w:hAnsiTheme="minorHAnsi" w:cstheme="minorHAnsi"/>
          <w:sz w:val="24"/>
          <w:szCs w:val="24"/>
        </w:rPr>
        <w:t>).</w:t>
      </w:r>
    </w:p>
  </w:footnote>
  <w:footnote w:id="18">
    <w:p w14:paraId="51BA422B" w14:textId="5CDD76E3" w:rsidR="009848BC" w:rsidRPr="00B80A44" w:rsidRDefault="009848BC"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9D3121" w:rsidRPr="00B80A44">
        <w:rPr>
          <w:rFonts w:asciiTheme="minorHAnsi" w:hAnsiTheme="minorHAnsi" w:cstheme="minorHAnsi"/>
          <w:sz w:val="24"/>
          <w:szCs w:val="24"/>
        </w:rPr>
        <w:t xml:space="preserve">Ex. </w:t>
      </w:r>
      <w:r w:rsidR="00F24822" w:rsidRPr="00B80A44">
        <w:rPr>
          <w:rFonts w:asciiTheme="minorHAnsi" w:hAnsiTheme="minorHAnsi" w:cstheme="minorHAnsi"/>
          <w:sz w:val="24"/>
          <w:szCs w:val="24"/>
        </w:rPr>
        <w:t>220</w:t>
      </w:r>
      <w:r w:rsidR="00590AE0" w:rsidRPr="00B80A44">
        <w:rPr>
          <w:rFonts w:asciiTheme="minorHAnsi" w:hAnsiTheme="minorHAnsi" w:cstheme="minorHAnsi"/>
          <w:sz w:val="24"/>
          <w:szCs w:val="24"/>
        </w:rPr>
        <w:t>,</w:t>
      </w:r>
      <w:r w:rsidR="009D3121" w:rsidRPr="00B80A44">
        <w:rPr>
          <w:rFonts w:asciiTheme="minorHAnsi" w:hAnsiTheme="minorHAnsi" w:cstheme="minorHAnsi"/>
          <w:sz w:val="24"/>
          <w:szCs w:val="24"/>
        </w:rPr>
        <w:t xml:space="preserve"> </w:t>
      </w:r>
      <w:r w:rsidR="00EB4DF1" w:rsidRPr="00B80A44">
        <w:rPr>
          <w:rFonts w:asciiTheme="minorHAnsi" w:hAnsiTheme="minorHAnsi" w:cstheme="minorHAnsi"/>
          <w:sz w:val="24"/>
          <w:szCs w:val="24"/>
        </w:rPr>
        <w:t xml:space="preserve">¶ 7 </w:t>
      </w:r>
      <w:r w:rsidR="009D3121" w:rsidRPr="00B80A44">
        <w:rPr>
          <w:rFonts w:asciiTheme="minorHAnsi" w:hAnsiTheme="minorHAnsi" w:cstheme="minorHAnsi"/>
          <w:sz w:val="24"/>
          <w:szCs w:val="24"/>
        </w:rPr>
        <w:t>(SP Declaration Regarding SP – August 17).</w:t>
      </w:r>
    </w:p>
  </w:footnote>
  <w:footnote w:id="19">
    <w:p w14:paraId="70895B03" w14:textId="744D94B1" w:rsidR="009943B8" w:rsidRPr="00B80A44" w:rsidRDefault="009943B8"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Pr="00B80A44">
        <w:rPr>
          <w:rFonts w:asciiTheme="minorHAnsi" w:hAnsiTheme="minorHAnsi" w:cstheme="minorHAnsi"/>
          <w:sz w:val="24"/>
          <w:szCs w:val="24"/>
        </w:rPr>
        <w:t>).</w:t>
      </w:r>
    </w:p>
  </w:footnote>
  <w:footnote w:id="20">
    <w:p w14:paraId="56040AC4" w14:textId="720C4C04" w:rsidR="009943B8" w:rsidRPr="00B80A44" w:rsidRDefault="009943B8"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i/>
          <w:iCs/>
          <w:sz w:val="24"/>
          <w:szCs w:val="24"/>
        </w:rPr>
        <w:t xml:space="preserve"> Id</w:t>
      </w:r>
      <w:r w:rsidRPr="00B80A44">
        <w:rPr>
          <w:rFonts w:asciiTheme="minorHAnsi" w:hAnsiTheme="minorHAnsi" w:cstheme="minorHAnsi"/>
          <w:sz w:val="24"/>
          <w:szCs w:val="24"/>
        </w:rPr>
        <w:t>.</w:t>
      </w:r>
    </w:p>
  </w:footnote>
  <w:footnote w:id="21">
    <w:p w14:paraId="7410B1B8" w14:textId="22032760" w:rsidR="009943B8" w:rsidRPr="00B80A44" w:rsidRDefault="009943B8"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22">
    <w:p w14:paraId="4225C3C2" w14:textId="3726C6CB" w:rsidR="00EB4DF1" w:rsidRPr="00B80A44" w:rsidRDefault="00EB4DF1"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F24822" w:rsidRPr="00B80A44">
        <w:rPr>
          <w:rFonts w:asciiTheme="minorHAnsi" w:hAnsiTheme="minorHAnsi" w:cstheme="minorHAnsi"/>
          <w:sz w:val="24"/>
          <w:szCs w:val="24"/>
        </w:rPr>
        <w:t>225</w:t>
      </w:r>
      <w:r w:rsidR="00590AE0"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Pr="00B80A44">
        <w:rPr>
          <w:rFonts w:asciiTheme="minorHAnsi" w:hAnsiTheme="minorHAnsi" w:cstheme="minorHAnsi"/>
          <w:sz w:val="24"/>
          <w:szCs w:val="24"/>
        </w:rPr>
        <w:t xml:space="preserve"> 7 (J.L. Declaration Regarding J.R. – September 12).,</w:t>
      </w:r>
    </w:p>
  </w:footnote>
  <w:footnote w:id="23">
    <w:p w14:paraId="73E6D61A" w14:textId="43CFEAFC" w:rsidR="00EB4DF1" w:rsidRPr="00B80A44" w:rsidRDefault="00EB4DF1"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24">
    <w:p w14:paraId="4A957B19" w14:textId="381BA70E" w:rsidR="00EB4DF1" w:rsidRPr="00B80A44" w:rsidRDefault="00EB4DF1"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bookmarkStart w:id="115" w:name="_Hlk83679254"/>
      <w:r w:rsidRPr="00B80A44">
        <w:rPr>
          <w:rFonts w:asciiTheme="minorHAnsi" w:hAnsiTheme="minorHAnsi" w:cstheme="minorHAnsi"/>
          <w:sz w:val="24"/>
          <w:szCs w:val="24"/>
        </w:rPr>
        <w:t xml:space="preserve">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Pr="00B80A44">
        <w:rPr>
          <w:rFonts w:asciiTheme="minorHAnsi" w:hAnsiTheme="minorHAnsi" w:cstheme="minorHAnsi"/>
          <w:sz w:val="24"/>
          <w:szCs w:val="24"/>
        </w:rPr>
        <w:t>).</w:t>
      </w:r>
      <w:bookmarkEnd w:id="115"/>
    </w:p>
  </w:footnote>
  <w:footnote w:id="25">
    <w:p w14:paraId="5FB5F7B9" w14:textId="49399716" w:rsidR="00926DE9" w:rsidRPr="00B80A44" w:rsidRDefault="00926DE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26">
    <w:p w14:paraId="5EBC7958" w14:textId="65A53BE6" w:rsidR="00926DE9" w:rsidRPr="00B80A44" w:rsidRDefault="00926DE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5A2C19" w:rsidRPr="00B80A44">
        <w:rPr>
          <w:rFonts w:asciiTheme="minorHAnsi" w:hAnsiTheme="minorHAnsi" w:cstheme="minorHAnsi"/>
          <w:sz w:val="24"/>
          <w:szCs w:val="24"/>
        </w:rPr>
        <w:t xml:space="preserve">Ex. </w:t>
      </w:r>
      <w:r w:rsidR="00F24822" w:rsidRPr="00B80A44">
        <w:rPr>
          <w:rFonts w:asciiTheme="minorHAnsi" w:hAnsiTheme="minorHAnsi" w:cstheme="minorHAnsi"/>
          <w:sz w:val="24"/>
          <w:szCs w:val="24"/>
        </w:rPr>
        <w:t>230</w:t>
      </w:r>
      <w:r w:rsidR="00590AE0" w:rsidRPr="00B80A44">
        <w:rPr>
          <w:rFonts w:asciiTheme="minorHAnsi" w:hAnsiTheme="minorHAnsi" w:cstheme="minorHAnsi"/>
          <w:sz w:val="24"/>
          <w:szCs w:val="24"/>
        </w:rPr>
        <w:t>,</w:t>
      </w:r>
      <w:r w:rsidR="005A2C19"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005A2C19" w:rsidRPr="00B80A44">
        <w:rPr>
          <w:rFonts w:asciiTheme="minorHAnsi" w:hAnsiTheme="minorHAnsi" w:cstheme="minorHAnsi"/>
          <w:sz w:val="24"/>
          <w:szCs w:val="24"/>
        </w:rPr>
        <w:t xml:space="preserve"> 10 (R.M. Declaration Regarding H.M. – September 13). </w:t>
      </w:r>
    </w:p>
  </w:footnote>
  <w:footnote w:id="27">
    <w:p w14:paraId="59854B01" w14:textId="17E4A7D1" w:rsidR="00926DE9" w:rsidRPr="00B80A44" w:rsidRDefault="00926DE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5A2C19" w:rsidRPr="00B80A44">
        <w:rPr>
          <w:rFonts w:asciiTheme="minorHAnsi" w:hAnsiTheme="minorHAnsi" w:cstheme="minorHAnsi"/>
          <w:sz w:val="24"/>
          <w:szCs w:val="24"/>
        </w:rPr>
        <w:t xml:space="preserve">Ex. </w:t>
      </w:r>
      <w:r w:rsidR="008512C1" w:rsidRPr="00B80A44">
        <w:rPr>
          <w:rFonts w:asciiTheme="minorHAnsi" w:hAnsiTheme="minorHAnsi" w:cstheme="minorHAnsi"/>
          <w:sz w:val="24"/>
          <w:szCs w:val="24"/>
        </w:rPr>
        <w:t>14</w:t>
      </w:r>
      <w:r w:rsidR="005A2C19"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005A2C19" w:rsidRPr="00B80A44">
        <w:rPr>
          <w:rFonts w:asciiTheme="minorHAnsi" w:hAnsiTheme="minorHAnsi" w:cstheme="minorHAnsi"/>
          <w:sz w:val="24"/>
          <w:szCs w:val="24"/>
        </w:rPr>
        <w:t>).</w:t>
      </w:r>
    </w:p>
  </w:footnote>
  <w:footnote w:id="28">
    <w:p w14:paraId="2B5F1D25" w14:textId="0EF7E4D0" w:rsidR="00926DE9" w:rsidRPr="00B80A44" w:rsidRDefault="00926DE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5A2C19" w:rsidRPr="00B80A44">
        <w:rPr>
          <w:rFonts w:asciiTheme="minorHAnsi" w:hAnsiTheme="minorHAnsi" w:cstheme="minorHAnsi"/>
          <w:sz w:val="24"/>
          <w:szCs w:val="24"/>
        </w:rPr>
        <w:t xml:space="preserve">Ex. </w:t>
      </w:r>
      <w:r w:rsidR="00F24822" w:rsidRPr="00B80A44">
        <w:rPr>
          <w:rFonts w:asciiTheme="minorHAnsi" w:hAnsiTheme="minorHAnsi" w:cstheme="minorHAnsi"/>
          <w:sz w:val="24"/>
          <w:szCs w:val="24"/>
        </w:rPr>
        <w:t>229</w:t>
      </w:r>
      <w:r w:rsidR="00590AE0"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Pr="00B80A44">
        <w:rPr>
          <w:rFonts w:asciiTheme="minorHAnsi" w:hAnsiTheme="minorHAnsi" w:cstheme="minorHAnsi"/>
          <w:sz w:val="24"/>
          <w:szCs w:val="24"/>
        </w:rPr>
        <w:t xml:space="preserve"> 7 (R.M. Declaration Regarding H.M. – August 17). </w:t>
      </w:r>
    </w:p>
  </w:footnote>
  <w:footnote w:id="29">
    <w:p w14:paraId="44FBBCBA" w14:textId="320E1E86" w:rsidR="00755D15" w:rsidRPr="00B80A44" w:rsidRDefault="00755D15"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Pr="00B80A44">
        <w:rPr>
          <w:rFonts w:asciiTheme="minorHAnsi" w:hAnsiTheme="minorHAnsi" w:cstheme="minorHAnsi"/>
          <w:sz w:val="24"/>
          <w:szCs w:val="24"/>
        </w:rPr>
        <w:t>).</w:t>
      </w:r>
    </w:p>
  </w:footnote>
  <w:footnote w:id="30">
    <w:p w14:paraId="36F263D7" w14:textId="7816C0D7" w:rsidR="00755D15" w:rsidRPr="00B80A44" w:rsidRDefault="00755D15"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31">
    <w:p w14:paraId="21F584BF" w14:textId="253F8FB0" w:rsidR="00086D69" w:rsidRPr="00B80A44" w:rsidRDefault="00086D6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32">
    <w:p w14:paraId="02DEA176" w14:textId="30434AFB" w:rsidR="00086D69" w:rsidRPr="00B80A44" w:rsidRDefault="00086D6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33">
    <w:p w14:paraId="0F8DC1BB" w14:textId="5711B583" w:rsidR="00086D69" w:rsidRPr="00B80A44" w:rsidRDefault="00086D6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Ex. </w:t>
      </w:r>
      <w:r w:rsidR="00F24822" w:rsidRPr="00B80A44">
        <w:rPr>
          <w:rFonts w:asciiTheme="minorHAnsi" w:hAnsiTheme="minorHAnsi" w:cstheme="minorHAnsi"/>
          <w:sz w:val="24"/>
          <w:szCs w:val="24"/>
        </w:rPr>
        <w:t>221</w:t>
      </w:r>
      <w:r w:rsidR="00590AE0"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Pr="00B80A44">
        <w:rPr>
          <w:rFonts w:asciiTheme="minorHAnsi" w:hAnsiTheme="minorHAnsi" w:cstheme="minorHAnsi"/>
          <w:sz w:val="24"/>
          <w:szCs w:val="24"/>
        </w:rPr>
        <w:t xml:space="preserve"> 10 (C.M. Declaration Regarding A.M. – August 17). </w:t>
      </w:r>
    </w:p>
  </w:footnote>
  <w:footnote w:id="34">
    <w:p w14:paraId="064DDFFB" w14:textId="62B5D3FE" w:rsidR="00472CA9" w:rsidRPr="00B80A44" w:rsidRDefault="00472CA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8512C1" w:rsidRPr="00B80A44">
        <w:rPr>
          <w:rFonts w:asciiTheme="minorHAnsi" w:hAnsiTheme="minorHAnsi" w:cstheme="minorHAnsi"/>
          <w:sz w:val="24"/>
          <w:szCs w:val="24"/>
        </w:rPr>
        <w:t>14</w:t>
      </w:r>
      <w:r w:rsidRPr="00B80A44">
        <w:rPr>
          <w:rFonts w:asciiTheme="minorHAnsi" w:hAnsiTheme="minorHAnsi" w:cstheme="minorHAnsi"/>
          <w:sz w:val="24"/>
          <w:szCs w:val="24"/>
        </w:rPr>
        <w:t xml:space="preserve"> (</w:t>
      </w:r>
      <w:r w:rsidR="003D531B" w:rsidRPr="00B80A44">
        <w:rPr>
          <w:rFonts w:asciiTheme="minorHAnsi" w:hAnsiTheme="minorHAnsi" w:cstheme="minorHAnsi"/>
          <w:sz w:val="24"/>
          <w:szCs w:val="24"/>
        </w:rPr>
        <w:t>Stipulated Facts</w:t>
      </w:r>
      <w:r w:rsidRPr="00B80A44">
        <w:rPr>
          <w:rFonts w:asciiTheme="minorHAnsi" w:hAnsiTheme="minorHAnsi" w:cstheme="minorHAnsi"/>
          <w:sz w:val="24"/>
          <w:szCs w:val="24"/>
        </w:rPr>
        <w:t>).</w:t>
      </w:r>
    </w:p>
  </w:footnote>
  <w:footnote w:id="35">
    <w:p w14:paraId="2508FAB6" w14:textId="4CB4BE05" w:rsidR="00472CA9" w:rsidRPr="00B80A44" w:rsidRDefault="00472CA9"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Id</w:t>
      </w:r>
      <w:r w:rsidRPr="00B80A44">
        <w:rPr>
          <w:rFonts w:asciiTheme="minorHAnsi" w:hAnsiTheme="minorHAnsi" w:cstheme="minorHAnsi"/>
          <w:sz w:val="24"/>
          <w:szCs w:val="24"/>
        </w:rPr>
        <w:t xml:space="preserve">. </w:t>
      </w:r>
    </w:p>
  </w:footnote>
  <w:footnote w:id="36">
    <w:p w14:paraId="62FBD858" w14:textId="5D6D3409" w:rsidR="00092631" w:rsidRPr="00B80A44" w:rsidRDefault="00092631"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F24822" w:rsidRPr="00B80A44">
        <w:rPr>
          <w:rFonts w:asciiTheme="minorHAnsi" w:hAnsiTheme="minorHAnsi" w:cstheme="minorHAnsi"/>
          <w:sz w:val="24"/>
          <w:szCs w:val="24"/>
        </w:rPr>
        <w:t>228</w:t>
      </w:r>
      <w:r w:rsidR="00590AE0"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Pr="00B80A44">
        <w:rPr>
          <w:rFonts w:asciiTheme="minorHAnsi" w:hAnsiTheme="minorHAnsi" w:cstheme="minorHAnsi"/>
          <w:sz w:val="24"/>
          <w:szCs w:val="24"/>
        </w:rPr>
        <w:t xml:space="preserve"> 9 (M.M. Declaration Regarding E.S. – September 14). </w:t>
      </w:r>
    </w:p>
  </w:footnote>
  <w:footnote w:id="37">
    <w:p w14:paraId="2917BC64" w14:textId="2C6F4B0E" w:rsidR="0087070A" w:rsidRPr="00B80A44" w:rsidRDefault="0087070A"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See, </w:t>
      </w:r>
      <w:r w:rsidRPr="00B80A44">
        <w:rPr>
          <w:rFonts w:asciiTheme="minorHAnsi" w:hAnsiTheme="minorHAnsi" w:cstheme="minorHAnsi"/>
          <w:i/>
          <w:iCs/>
          <w:sz w:val="24"/>
          <w:szCs w:val="24"/>
        </w:rPr>
        <w:t>e.g</w:t>
      </w:r>
      <w:r w:rsidRPr="00B80A44">
        <w:rPr>
          <w:rFonts w:asciiTheme="minorHAnsi" w:hAnsiTheme="minorHAnsi" w:cstheme="minorHAnsi"/>
          <w:sz w:val="24"/>
          <w:szCs w:val="24"/>
        </w:rPr>
        <w:t>.</w:t>
      </w:r>
      <w:r w:rsidR="00254359" w:rsidRPr="00B80A44">
        <w:rPr>
          <w:rFonts w:asciiTheme="minorHAnsi" w:hAnsiTheme="minorHAnsi" w:cstheme="minorHAnsi"/>
          <w:sz w:val="24"/>
          <w:szCs w:val="24"/>
        </w:rPr>
        <w:t>,</w:t>
      </w:r>
      <w:r w:rsidRPr="00B80A44">
        <w:rPr>
          <w:rFonts w:asciiTheme="minorHAnsi" w:hAnsiTheme="minorHAnsi" w:cstheme="minorHAnsi"/>
          <w:sz w:val="24"/>
          <w:szCs w:val="24"/>
        </w:rPr>
        <w:t xml:space="preserve"> Ex. </w:t>
      </w:r>
      <w:r w:rsidR="00E52737" w:rsidRPr="00B80A44">
        <w:rPr>
          <w:rFonts w:asciiTheme="minorHAnsi" w:hAnsiTheme="minorHAnsi" w:cstheme="minorHAnsi"/>
          <w:sz w:val="24"/>
          <w:szCs w:val="24"/>
        </w:rPr>
        <w:t>32</w:t>
      </w:r>
      <w:r w:rsidRPr="00B80A44">
        <w:rPr>
          <w:rFonts w:asciiTheme="minorHAnsi" w:hAnsiTheme="minorHAnsi" w:cstheme="minorHAnsi"/>
          <w:sz w:val="24"/>
          <w:szCs w:val="24"/>
        </w:rPr>
        <w:t xml:space="preserve"> (OAG Letter to Round Rock ISD on August 17, 2021);</w:t>
      </w:r>
      <w:r w:rsidR="00EC0F84" w:rsidRPr="00B80A44">
        <w:rPr>
          <w:rFonts w:asciiTheme="minorHAnsi" w:hAnsiTheme="minorHAnsi" w:cstheme="minorHAnsi"/>
          <w:sz w:val="24"/>
          <w:szCs w:val="24"/>
        </w:rPr>
        <w:t xml:space="preserve"> Ex. </w:t>
      </w:r>
      <w:r w:rsidR="00E52737" w:rsidRPr="00B80A44">
        <w:rPr>
          <w:rFonts w:asciiTheme="minorHAnsi" w:hAnsiTheme="minorHAnsi" w:cstheme="minorHAnsi"/>
          <w:sz w:val="24"/>
          <w:szCs w:val="24"/>
        </w:rPr>
        <w:t>28</w:t>
      </w:r>
      <w:r w:rsidR="00EC0F84" w:rsidRPr="00B80A44">
        <w:rPr>
          <w:rFonts w:asciiTheme="minorHAnsi" w:hAnsiTheme="minorHAnsi" w:cstheme="minorHAnsi"/>
          <w:sz w:val="24"/>
          <w:szCs w:val="24"/>
        </w:rPr>
        <w:t xml:space="preserve"> (OAG Letter to Richardson ISD on August 17, 2021);</w:t>
      </w:r>
      <w:r w:rsidRPr="00B80A44">
        <w:rPr>
          <w:rFonts w:asciiTheme="minorHAnsi" w:hAnsiTheme="minorHAnsi" w:cstheme="minorHAnsi"/>
          <w:sz w:val="24"/>
          <w:szCs w:val="24"/>
        </w:rPr>
        <w:t xml:space="preserve"> Ex. </w:t>
      </w:r>
      <w:r w:rsidR="00E52737" w:rsidRPr="00B80A44">
        <w:rPr>
          <w:rFonts w:asciiTheme="minorHAnsi" w:hAnsiTheme="minorHAnsi" w:cstheme="minorHAnsi"/>
          <w:sz w:val="24"/>
          <w:szCs w:val="24"/>
        </w:rPr>
        <w:t>91</w:t>
      </w:r>
      <w:r w:rsidRPr="00B80A44">
        <w:rPr>
          <w:rFonts w:asciiTheme="minorHAnsi" w:hAnsiTheme="minorHAnsi" w:cstheme="minorHAnsi"/>
          <w:sz w:val="24"/>
          <w:szCs w:val="24"/>
        </w:rPr>
        <w:t xml:space="preserve"> (OAG Letter to Honey Grove ISD on September 3, 2021); Ex. </w:t>
      </w:r>
      <w:r w:rsidR="00E52737" w:rsidRPr="00B80A44">
        <w:rPr>
          <w:rFonts w:asciiTheme="minorHAnsi" w:hAnsiTheme="minorHAnsi" w:cstheme="minorHAnsi"/>
          <w:sz w:val="24"/>
          <w:szCs w:val="24"/>
        </w:rPr>
        <w:t>87</w:t>
      </w:r>
      <w:r w:rsidRPr="00B80A44">
        <w:rPr>
          <w:rFonts w:asciiTheme="minorHAnsi" w:hAnsiTheme="minorHAnsi" w:cstheme="minorHAnsi"/>
          <w:sz w:val="24"/>
          <w:szCs w:val="24"/>
        </w:rPr>
        <w:t xml:space="preserve"> (OAG Letter to Sherman ISD on September 3, 2021)</w:t>
      </w:r>
      <w:r w:rsidR="00EC0F84" w:rsidRPr="00B80A44">
        <w:rPr>
          <w:rFonts w:asciiTheme="minorHAnsi" w:hAnsiTheme="minorHAnsi" w:cstheme="minorHAnsi"/>
          <w:sz w:val="24"/>
          <w:szCs w:val="24"/>
        </w:rPr>
        <w:t xml:space="preserve"> (emphasis added)</w:t>
      </w:r>
      <w:r w:rsidRPr="00B80A44">
        <w:rPr>
          <w:rFonts w:asciiTheme="minorHAnsi" w:hAnsiTheme="minorHAnsi" w:cstheme="minorHAnsi"/>
          <w:sz w:val="24"/>
          <w:szCs w:val="24"/>
        </w:rPr>
        <w:t>.</w:t>
      </w:r>
    </w:p>
  </w:footnote>
  <w:footnote w:id="38">
    <w:p w14:paraId="5D5ED29E" w14:textId="5527CD76" w:rsidR="00311485" w:rsidRPr="00B80A44" w:rsidRDefault="00311485">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color w:val="auto"/>
          <w:sz w:val="24"/>
          <w:szCs w:val="24"/>
        </w:rPr>
        <w:t>Progreso Indep. Sch. Dist. v. Morath</w:t>
      </w:r>
      <w:r w:rsidRPr="00B80A44">
        <w:rPr>
          <w:rFonts w:asciiTheme="minorHAnsi" w:hAnsiTheme="minorHAnsi" w:cstheme="minorHAnsi"/>
          <w:color w:val="auto"/>
          <w:sz w:val="24"/>
          <w:szCs w:val="24"/>
        </w:rPr>
        <w:t xml:space="preserve">, No. 18-0455, 2019 WL 1048819 (Tex. Feb. 27, 2019) (Respondents’ Brief on the Merits) (noting the expansive powers vested by statute to Morath and the Commissioner’s “broad power” to impose sanctions, initiate a special accreditation investigation for any reason, and lower a district’s “accreditation status without any statutory textual limitation on that power”); </w:t>
      </w:r>
      <w:r w:rsidRPr="00B80A44">
        <w:rPr>
          <w:rFonts w:asciiTheme="minorHAnsi" w:hAnsiTheme="minorHAnsi" w:cstheme="minorHAnsi"/>
          <w:i/>
          <w:color w:val="auto"/>
          <w:sz w:val="24"/>
          <w:szCs w:val="24"/>
        </w:rPr>
        <w:t>see also</w:t>
      </w:r>
      <w:r w:rsidRPr="00B80A44">
        <w:rPr>
          <w:rFonts w:asciiTheme="minorHAnsi" w:hAnsiTheme="minorHAnsi" w:cstheme="minorHAnsi"/>
          <w:color w:val="auto"/>
          <w:sz w:val="24"/>
          <w:szCs w:val="24"/>
        </w:rPr>
        <w:t xml:space="preserve"> </w:t>
      </w:r>
      <w:r w:rsidRPr="00B80A44">
        <w:rPr>
          <w:rFonts w:asciiTheme="minorHAnsi" w:eastAsia="Times New Roman" w:hAnsiTheme="minorHAnsi" w:cstheme="minorHAnsi"/>
          <w:color w:val="auto"/>
          <w:sz w:val="24"/>
          <w:szCs w:val="24"/>
        </w:rPr>
        <w:t xml:space="preserve">Tex. Educ. Code § 7.021 (enumerating TEA’s powers and duties with respect to school districts); Tex. Educ. Code § 7.055 (enumerating Morath’s nearly 40 powers and duties with respect to school districts); </w:t>
      </w:r>
      <w:r w:rsidRPr="00B80A44">
        <w:rPr>
          <w:rFonts w:asciiTheme="minorHAnsi" w:hAnsiTheme="minorHAnsi" w:cstheme="minorHAnsi"/>
          <w:iCs/>
          <w:color w:val="auto"/>
          <w:sz w:val="24"/>
          <w:szCs w:val="24"/>
        </w:rPr>
        <w:t xml:space="preserve">Ex. </w:t>
      </w:r>
      <w:r w:rsidR="001146D8">
        <w:rPr>
          <w:rFonts w:asciiTheme="minorHAnsi" w:hAnsiTheme="minorHAnsi" w:cstheme="minorHAnsi"/>
          <w:iCs/>
          <w:color w:val="auto"/>
          <w:sz w:val="24"/>
          <w:szCs w:val="24"/>
        </w:rPr>
        <w:t>160</w:t>
      </w:r>
      <w:r w:rsidRPr="00B80A44">
        <w:rPr>
          <w:rFonts w:asciiTheme="minorHAnsi" w:hAnsiTheme="minorHAnsi" w:cstheme="minorHAnsi"/>
          <w:iCs/>
          <w:color w:val="auto"/>
          <w:sz w:val="24"/>
          <w:szCs w:val="24"/>
        </w:rPr>
        <w:t xml:space="preserve"> at 28:12-16 (A. Jernigan Depo) (noting that with respect to Morath’s powers as TEA commission, “there are a lot of them”); </w:t>
      </w:r>
      <w:r w:rsidRPr="00B80A44">
        <w:rPr>
          <w:rFonts w:asciiTheme="minorHAnsi" w:hAnsiTheme="minorHAnsi" w:cstheme="minorHAnsi"/>
          <w:i/>
          <w:iCs/>
          <w:color w:val="auto"/>
          <w:sz w:val="24"/>
          <w:szCs w:val="24"/>
        </w:rPr>
        <w:t>id.</w:t>
      </w:r>
      <w:r w:rsidRPr="00B80A44">
        <w:rPr>
          <w:rFonts w:asciiTheme="minorHAnsi" w:hAnsiTheme="minorHAnsi" w:cstheme="minorHAnsi"/>
          <w:iCs/>
          <w:color w:val="auto"/>
          <w:sz w:val="24"/>
          <w:szCs w:val="24"/>
        </w:rPr>
        <w:t xml:space="preserve"> at 30:16-33:21 (stating that TEA and Morath can take varied and sundry corrective actions with respect to school districts, including withholding funding, conducting a special accreditation investigation, lowering the accountability rating of a district, lowering the accreditation status of a district, placing a monitor, conservator, or board of managers to oversee a district, and requiring a district to attend a hearing with the Commissioner and/or the general public and/or engage in a third-party audit of issues of noncompliance).</w:t>
      </w:r>
    </w:p>
  </w:footnote>
  <w:footnote w:id="39">
    <w:p w14:paraId="41651AAE" w14:textId="183135A3" w:rsidR="00EC0F84" w:rsidRPr="00B80A44" w:rsidRDefault="00EC0F84" w:rsidP="00EC0F84">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bookmarkStart w:id="124" w:name="_Hlk83814528"/>
      <w:r w:rsidRPr="00B80A44">
        <w:rPr>
          <w:rFonts w:asciiTheme="minorHAnsi" w:hAnsiTheme="minorHAnsi" w:cstheme="minorHAnsi"/>
          <w:sz w:val="24"/>
          <w:szCs w:val="24"/>
        </w:rPr>
        <w:t xml:space="preserve">Defendant TEA receives federal funding from several sources, including ESSER funding under the ARP Act.  Ex. </w:t>
      </w:r>
      <w:r w:rsidR="00E04039" w:rsidRPr="00B80A44">
        <w:rPr>
          <w:rFonts w:asciiTheme="minorHAnsi" w:hAnsiTheme="minorHAnsi" w:cstheme="minorHAnsi"/>
          <w:sz w:val="24"/>
          <w:szCs w:val="24"/>
        </w:rPr>
        <w:t>6</w:t>
      </w:r>
      <w:r w:rsidRPr="00B80A44">
        <w:rPr>
          <w:rFonts w:asciiTheme="minorHAnsi" w:hAnsiTheme="minorHAnsi" w:cstheme="minorHAnsi"/>
          <w:sz w:val="24"/>
          <w:szCs w:val="24"/>
        </w:rPr>
        <w:t xml:space="preserve">, Letter from Suzanne B. Goldberg, Acting Asst. Sec. for Civil Rights, U.S. Dep’t of Ed. to Defendant Morath (Sept. 21, 2021); Ex. </w:t>
      </w:r>
      <w:r w:rsidR="00E04039" w:rsidRPr="00B80A44">
        <w:rPr>
          <w:rFonts w:asciiTheme="minorHAnsi" w:hAnsiTheme="minorHAnsi" w:cstheme="minorHAnsi"/>
          <w:sz w:val="24"/>
          <w:szCs w:val="24"/>
        </w:rPr>
        <w:t>339</w:t>
      </w:r>
      <w:r w:rsidRPr="00B80A44">
        <w:rPr>
          <w:rFonts w:asciiTheme="minorHAnsi" w:hAnsiTheme="minorHAnsi" w:cstheme="minorHAnsi"/>
          <w:sz w:val="24"/>
          <w:szCs w:val="24"/>
        </w:rPr>
        <w:t>, USASpending.gov, Education Agency, Texas, https://www.usaspending.gov/recipient/eb6f10a7-ba74-da8e-bdac-d13de8455e69-C/latest.  Defendant Paxton’s office also receives funding for various law enforcement programs.  Ex.</w:t>
      </w:r>
      <w:r w:rsidR="00E04039" w:rsidRPr="00B80A44">
        <w:rPr>
          <w:rFonts w:asciiTheme="minorHAnsi" w:hAnsiTheme="minorHAnsi" w:cstheme="minorHAnsi"/>
          <w:sz w:val="24"/>
          <w:szCs w:val="24"/>
        </w:rPr>
        <w:t xml:space="preserve"> 162</w:t>
      </w:r>
      <w:r w:rsidRPr="00B80A44">
        <w:rPr>
          <w:rFonts w:asciiTheme="minorHAnsi" w:hAnsiTheme="minorHAnsi" w:cstheme="minorHAnsi"/>
          <w:sz w:val="24"/>
          <w:szCs w:val="24"/>
        </w:rPr>
        <w:t>, USASpending.gov, Attorney General, Texas, https://www.usaspending.gov/recipient/4a2062fe-3ef6-bcc3-49de-6a17aff8ba31-C/latest</w:t>
      </w:r>
      <w:bookmarkEnd w:id="124"/>
      <w:r w:rsidRPr="00B80A44">
        <w:rPr>
          <w:rFonts w:asciiTheme="minorHAnsi" w:hAnsiTheme="minorHAnsi" w:cstheme="minorHAnsi"/>
          <w:sz w:val="24"/>
          <w:szCs w:val="24"/>
        </w:rPr>
        <w:t xml:space="preserve">; Ex. </w:t>
      </w:r>
      <w:r w:rsidR="00E04039" w:rsidRPr="00B80A44">
        <w:rPr>
          <w:rFonts w:asciiTheme="minorHAnsi" w:hAnsiTheme="minorHAnsi" w:cstheme="minorHAnsi"/>
          <w:sz w:val="24"/>
          <w:szCs w:val="24"/>
        </w:rPr>
        <w:t>342</w:t>
      </w:r>
      <w:r w:rsidRPr="00B80A44">
        <w:rPr>
          <w:rFonts w:asciiTheme="minorHAnsi" w:hAnsiTheme="minorHAnsi" w:cstheme="minorHAnsi"/>
          <w:sz w:val="24"/>
          <w:szCs w:val="24"/>
        </w:rPr>
        <w:t>, Office of the Attorney General, Title IV‑D and Child Support in Texas, https://www.texasattorneygeneral.gov/child-support/who-we-are/title-iv-d-and-child-support-texas.</w:t>
      </w:r>
    </w:p>
  </w:footnote>
  <w:footnote w:id="40">
    <w:p w14:paraId="5C60EBBA" w14:textId="60F99C9F" w:rsidR="00DA5613" w:rsidRPr="00B80A44" w:rsidRDefault="00DA5613" w:rsidP="00254359">
      <w:pPr>
        <w:pStyle w:val="FootnoteText"/>
        <w:rPr>
          <w:rFonts w:asciiTheme="minorHAnsi" w:hAnsiTheme="minorHAnsi" w:cstheme="minorHAnsi"/>
          <w:sz w:val="24"/>
          <w:szCs w:val="24"/>
        </w:rPr>
      </w:pPr>
      <w:bookmarkStart w:id="137" w:name="_Hlk83840761"/>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color w:val="auto"/>
          <w:sz w:val="24"/>
          <w:szCs w:val="24"/>
        </w:rPr>
        <w:t xml:space="preserve">As discussed </w:t>
      </w:r>
      <w:r w:rsidRPr="00B80A44">
        <w:rPr>
          <w:rFonts w:asciiTheme="minorHAnsi" w:hAnsiTheme="minorHAnsi" w:cstheme="minorHAnsi"/>
          <w:i/>
          <w:color w:val="auto"/>
          <w:sz w:val="24"/>
          <w:szCs w:val="24"/>
        </w:rPr>
        <w:t>infra</w:t>
      </w:r>
      <w:r w:rsidRPr="00B80A44">
        <w:rPr>
          <w:rFonts w:asciiTheme="minorHAnsi" w:hAnsiTheme="minorHAnsi" w:cstheme="minorHAnsi"/>
          <w:color w:val="auto"/>
          <w:sz w:val="24"/>
          <w:szCs w:val="24"/>
        </w:rPr>
        <w:t xml:space="preserve"> at</w:t>
      </w:r>
      <w:r w:rsidR="001716BC" w:rsidRPr="00B80A44">
        <w:rPr>
          <w:rFonts w:asciiTheme="minorHAnsi" w:hAnsiTheme="minorHAnsi" w:cstheme="minorHAnsi"/>
          <w:color w:val="auto"/>
          <w:sz w:val="24"/>
          <w:szCs w:val="24"/>
        </w:rPr>
        <w:t xml:space="preserve"> Section III.B</w:t>
      </w:r>
      <w:r w:rsidRPr="00B80A44">
        <w:rPr>
          <w:rFonts w:asciiTheme="minorHAnsi" w:hAnsiTheme="minorHAnsi" w:cstheme="minorHAnsi"/>
          <w:color w:val="auto"/>
          <w:sz w:val="24"/>
          <w:szCs w:val="24"/>
        </w:rPr>
        <w:t xml:space="preserve">, Plaintiffs’ injuries are also recognized under the ADA and Section 504.  </w:t>
      </w:r>
      <w:r w:rsidRPr="00B80A44">
        <w:rPr>
          <w:rFonts w:asciiTheme="minorHAnsi" w:hAnsiTheme="minorHAnsi" w:cstheme="minorHAnsi"/>
          <w:i/>
          <w:iCs/>
          <w:color w:val="auto"/>
          <w:sz w:val="24"/>
          <w:szCs w:val="24"/>
        </w:rPr>
        <w:t>See Arc of Iowa</w:t>
      </w:r>
      <w:r w:rsidRPr="00B80A44">
        <w:rPr>
          <w:rFonts w:asciiTheme="minorHAnsi" w:hAnsiTheme="minorHAnsi" w:cstheme="minorHAnsi"/>
          <w:color w:val="auto"/>
          <w:sz w:val="24"/>
          <w:szCs w:val="24"/>
        </w:rPr>
        <w:t>, 2021 WL 4166728, at *37.</w:t>
      </w:r>
      <w:bookmarkEnd w:id="137"/>
    </w:p>
  </w:footnote>
  <w:footnote w:id="41">
    <w:p w14:paraId="4A3CCC35" w14:textId="4FF01A0A" w:rsidR="002F77C4" w:rsidRPr="00B80A44" w:rsidRDefault="002F77C4" w:rsidP="002F77C4">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Defendants’ prior reliance on </w:t>
      </w:r>
      <w:r w:rsidRPr="00B80A44">
        <w:rPr>
          <w:rFonts w:asciiTheme="minorHAnsi" w:hAnsiTheme="minorHAnsi" w:cstheme="minorHAnsi"/>
          <w:i/>
          <w:iCs/>
          <w:sz w:val="24"/>
          <w:szCs w:val="24"/>
        </w:rPr>
        <w:t>Clapper v. Amnesty International USA</w:t>
      </w:r>
      <w:r w:rsidRPr="00B80A44">
        <w:rPr>
          <w:rFonts w:asciiTheme="minorHAnsi" w:hAnsiTheme="minorHAnsi" w:cstheme="minorHAnsi"/>
          <w:sz w:val="24"/>
          <w:szCs w:val="24"/>
        </w:rPr>
        <w:t xml:space="preserve">, 568 U.S. 398 (2013) and </w:t>
      </w:r>
      <w:r w:rsidRPr="00B80A44">
        <w:rPr>
          <w:rFonts w:asciiTheme="minorHAnsi" w:hAnsiTheme="minorHAnsi" w:cstheme="minorHAnsi"/>
          <w:i/>
          <w:iCs/>
          <w:sz w:val="24"/>
          <w:szCs w:val="24"/>
        </w:rPr>
        <w:t>Glass v. Paxton</w:t>
      </w:r>
      <w:r w:rsidRPr="00B80A44">
        <w:rPr>
          <w:rFonts w:asciiTheme="minorHAnsi" w:hAnsiTheme="minorHAnsi" w:cstheme="minorHAnsi"/>
          <w:sz w:val="24"/>
          <w:szCs w:val="24"/>
        </w:rPr>
        <w:t xml:space="preserve">, 900 F.3d 233 (5th Cir. 2018) is misplaced.  The plaintiffs in those cases alleged that their free speech had been chilled due to fears of hypothetical future harm.  Here, Plaintiffs who are currently staying home, or will stay home if districts are unable to require masking as an accommodation, are doing so because of the very real and significant risk that COVID-19 presents for them due to their disabilities, as shown by the uncontroverted testimony of Drs. Yudovich, Greenberg, and Septimus.     </w:t>
      </w:r>
    </w:p>
  </w:footnote>
  <w:footnote w:id="42">
    <w:p w14:paraId="6C7C7411" w14:textId="77777777" w:rsidR="004130C6" w:rsidRPr="00B80A44" w:rsidRDefault="004130C6" w:rsidP="00254359">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 xml:space="preserve">See Wilson v. City of Southlake, </w:t>
      </w:r>
      <w:r w:rsidRPr="00B80A44">
        <w:rPr>
          <w:rFonts w:asciiTheme="minorHAnsi" w:hAnsiTheme="minorHAnsi" w:cstheme="minorHAnsi"/>
          <w:sz w:val="24"/>
          <w:szCs w:val="24"/>
        </w:rPr>
        <w:t>936 F. 3d 326, 330 (5th Cir. 2019) (“To establish a prima facie case of discrimination under the ADA, a plaintiff must demonstrate: (1) that he is a qualified individual within the meaning of the ADA; (2) that he is being excluded from participation in, or being denied benefits of, services, programs, or activities for which the public entity is responsible, or is otherwise being discriminated against by the public entity; and (3) that such exclusion, denial of benefits, or discrimination is by reason of his disability.”).</w:t>
      </w:r>
    </w:p>
  </w:footnote>
  <w:footnote w:id="43">
    <w:p w14:paraId="7D7DB41F"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G.S</w:t>
      </w:r>
      <w:r w:rsidRPr="00B80A44">
        <w:rPr>
          <w:rFonts w:asciiTheme="minorHAnsi" w:hAnsiTheme="minorHAnsi" w:cstheme="minorHAnsi"/>
          <w:sz w:val="24"/>
          <w:szCs w:val="24"/>
        </w:rPr>
        <w:t>., 2021 WL 4057812.</w:t>
      </w:r>
    </w:p>
  </w:footnote>
  <w:footnote w:id="44">
    <w:p w14:paraId="5A740484"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G.S</w:t>
      </w:r>
      <w:r w:rsidRPr="00B80A44">
        <w:rPr>
          <w:rFonts w:asciiTheme="minorHAnsi" w:hAnsiTheme="minorHAnsi" w:cstheme="minorHAnsi"/>
          <w:sz w:val="24"/>
          <w:szCs w:val="24"/>
        </w:rPr>
        <w:t xml:space="preserve">., 2021 WL 4268285.  </w:t>
      </w:r>
    </w:p>
  </w:footnote>
  <w:footnote w:id="45">
    <w:p w14:paraId="2FDE3484" w14:textId="59198B4A"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Arc of Iowa</w:t>
      </w:r>
      <w:r w:rsidRPr="00B80A44">
        <w:rPr>
          <w:rFonts w:asciiTheme="minorHAnsi" w:hAnsiTheme="minorHAnsi" w:cstheme="minorHAnsi"/>
          <w:sz w:val="24"/>
          <w:szCs w:val="24"/>
        </w:rPr>
        <w:t xml:space="preserve">, 2021 WL 4166728; </w:t>
      </w:r>
      <w:r w:rsidRPr="00B80A44">
        <w:rPr>
          <w:rFonts w:asciiTheme="minorHAnsi" w:hAnsiTheme="minorHAnsi" w:cstheme="minorHAnsi"/>
          <w:i/>
          <w:sz w:val="24"/>
          <w:szCs w:val="24"/>
        </w:rPr>
        <w:t>R.K. v. Lee</w:t>
      </w:r>
      <w:r w:rsidRPr="00B80A44">
        <w:rPr>
          <w:rFonts w:asciiTheme="minorHAnsi" w:hAnsiTheme="minorHAnsi" w:cstheme="minorHAnsi"/>
          <w:sz w:val="24"/>
          <w:szCs w:val="24"/>
        </w:rPr>
        <w:t xml:space="preserve">, No. 3:21-cv-725, </w:t>
      </w:r>
      <w:r w:rsidR="00BB1355" w:rsidRPr="00B80A44">
        <w:rPr>
          <w:rFonts w:asciiTheme="minorHAnsi" w:hAnsiTheme="minorHAnsi" w:cstheme="minorHAnsi"/>
          <w:sz w:val="24"/>
          <w:szCs w:val="24"/>
        </w:rPr>
        <w:t>2021</w:t>
      </w:r>
      <w:r w:rsidRPr="00B80A44">
        <w:rPr>
          <w:rFonts w:asciiTheme="minorHAnsi" w:hAnsiTheme="minorHAnsi" w:cstheme="minorHAnsi"/>
          <w:sz w:val="24"/>
          <w:szCs w:val="24"/>
        </w:rPr>
        <w:t xml:space="preserve"> WL </w:t>
      </w:r>
      <w:r w:rsidR="00BB1355" w:rsidRPr="00B80A44">
        <w:rPr>
          <w:rFonts w:asciiTheme="minorHAnsi" w:hAnsiTheme="minorHAnsi" w:cstheme="minorHAnsi"/>
          <w:sz w:val="24"/>
          <w:szCs w:val="24"/>
        </w:rPr>
        <w:t>4391640</w:t>
      </w:r>
      <w:r w:rsidRPr="00B80A44">
        <w:rPr>
          <w:rFonts w:asciiTheme="minorHAnsi" w:hAnsiTheme="minorHAnsi" w:cstheme="minorHAnsi"/>
          <w:sz w:val="24"/>
          <w:szCs w:val="24"/>
        </w:rPr>
        <w:t xml:space="preserve"> (M.D. Tenn. Sept. 24, 2021).  </w:t>
      </w:r>
    </w:p>
  </w:footnote>
  <w:footnote w:id="46">
    <w:p w14:paraId="7A916964"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S.B. by &amp; through M.B. v. Lee</w:t>
      </w:r>
      <w:r w:rsidRPr="00B80A44">
        <w:rPr>
          <w:rFonts w:asciiTheme="minorHAnsi" w:hAnsiTheme="minorHAnsi" w:cstheme="minorHAnsi"/>
          <w:sz w:val="24"/>
          <w:szCs w:val="24"/>
        </w:rPr>
        <w:t xml:space="preserve">, No. 321CV00317JRGDCP, PACER Doc. 6 (E.D. Tenn. Sept. 7, 2021).  </w:t>
      </w:r>
    </w:p>
  </w:footnote>
  <w:footnote w:id="47">
    <w:p w14:paraId="37851F6F"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S.B. by &amp; through M.B. v. Lee</w:t>
      </w:r>
      <w:r w:rsidRPr="00B80A44">
        <w:rPr>
          <w:rFonts w:asciiTheme="minorHAnsi" w:hAnsiTheme="minorHAnsi" w:cstheme="minorHAnsi"/>
          <w:sz w:val="24"/>
          <w:szCs w:val="24"/>
        </w:rPr>
        <w:t xml:space="preserve">, No. 321CV00317JRGDCP, ___ F. Supp. 3d ___, 2021 WL 4346232 (E.D. Tenn. Sept. 24, 2021).  </w:t>
      </w:r>
    </w:p>
  </w:footnote>
  <w:footnote w:id="48">
    <w:p w14:paraId="0913B3C7" w14:textId="3CE0EF91" w:rsidR="004130C6" w:rsidRPr="00B80A44" w:rsidRDefault="004130C6" w:rsidP="00545E56">
      <w:pPr>
        <w:pStyle w:val="Heading3"/>
        <w:shd w:val="clear" w:color="auto" w:fill="FFFFFF"/>
        <w:spacing w:after="0"/>
        <w:rPr>
          <w:rFonts w:asciiTheme="minorHAnsi" w:hAnsiTheme="minorHAnsi" w:cstheme="minorHAnsi"/>
        </w:rPr>
      </w:pPr>
      <w:r w:rsidRPr="00B80A44">
        <w:rPr>
          <w:rStyle w:val="FootnoteReference"/>
          <w:rFonts w:asciiTheme="minorHAnsi" w:hAnsiTheme="minorHAnsi" w:cstheme="minorHAnsi"/>
        </w:rPr>
        <w:footnoteRef/>
      </w:r>
      <w:r w:rsidRPr="00B80A44">
        <w:rPr>
          <w:rFonts w:asciiTheme="minorHAnsi" w:hAnsiTheme="minorHAnsi" w:cstheme="minorHAnsi"/>
        </w:rPr>
        <w:t xml:space="preserve"> </w:t>
      </w:r>
      <w:r w:rsidRPr="00B80A44">
        <w:rPr>
          <w:rFonts w:asciiTheme="minorHAnsi" w:hAnsiTheme="minorHAnsi" w:cstheme="minorHAnsi"/>
          <w:i/>
        </w:rPr>
        <w:t>G.S.</w:t>
      </w:r>
      <w:r w:rsidRPr="00B80A44">
        <w:rPr>
          <w:rFonts w:asciiTheme="minorHAnsi" w:hAnsiTheme="minorHAnsi" w:cstheme="minorHAnsi"/>
        </w:rPr>
        <w:t xml:space="preserve">, 2021 WL 4268285 at *4; </w:t>
      </w:r>
      <w:r w:rsidRPr="00B80A44">
        <w:rPr>
          <w:rFonts w:asciiTheme="minorHAnsi" w:hAnsiTheme="minorHAnsi" w:cstheme="minorHAnsi"/>
          <w:i/>
        </w:rPr>
        <w:t>Arc of Iowa</w:t>
      </w:r>
      <w:r w:rsidRPr="00B80A44">
        <w:rPr>
          <w:rFonts w:asciiTheme="minorHAnsi" w:hAnsiTheme="minorHAnsi" w:cstheme="minorHAnsi"/>
        </w:rPr>
        <w:t xml:space="preserve">, No. 4:21-cv-00264-RP-SBJ, PACER Doc. 17, at 20 (S.D. Iowa Sept. 9, 2021) (Brief in Support of Motion for Temporary Restraining Order and Preliminary Injunction); </w:t>
      </w:r>
      <w:r w:rsidRPr="00B80A44">
        <w:rPr>
          <w:rFonts w:asciiTheme="minorHAnsi" w:hAnsiTheme="minorHAnsi" w:cstheme="minorHAnsi"/>
          <w:i/>
          <w:iCs/>
        </w:rPr>
        <w:t xml:space="preserve">S.B, </w:t>
      </w:r>
      <w:r w:rsidRPr="00B80A44">
        <w:rPr>
          <w:rFonts w:asciiTheme="minorHAnsi" w:hAnsiTheme="minorHAnsi" w:cstheme="minorHAnsi"/>
        </w:rPr>
        <w:t xml:space="preserve">2021 WL 4346232 at *24 ; </w:t>
      </w:r>
      <w:r w:rsidRPr="00B80A44">
        <w:rPr>
          <w:rFonts w:asciiTheme="minorHAnsi" w:hAnsiTheme="minorHAnsi" w:cstheme="minorHAnsi"/>
          <w:i/>
        </w:rPr>
        <w:t>R.K.</w:t>
      </w:r>
      <w:r w:rsidRPr="00B80A44">
        <w:rPr>
          <w:rFonts w:asciiTheme="minorHAnsi" w:hAnsiTheme="minorHAnsi" w:cstheme="minorHAnsi"/>
        </w:rPr>
        <w:t xml:space="preserve"> </w:t>
      </w:r>
      <w:r w:rsidR="00BB1355" w:rsidRPr="00B80A44">
        <w:rPr>
          <w:rFonts w:asciiTheme="minorHAnsi" w:hAnsiTheme="minorHAnsi" w:cstheme="minorHAnsi"/>
        </w:rPr>
        <w:t>2021</w:t>
      </w:r>
      <w:r w:rsidRPr="00B80A44">
        <w:rPr>
          <w:rFonts w:asciiTheme="minorHAnsi" w:hAnsiTheme="minorHAnsi" w:cstheme="minorHAnsi"/>
        </w:rPr>
        <w:t xml:space="preserve"> WL </w:t>
      </w:r>
      <w:r w:rsidR="00BB1355" w:rsidRPr="00B80A44">
        <w:rPr>
          <w:rFonts w:asciiTheme="minorHAnsi" w:hAnsiTheme="minorHAnsi" w:cstheme="minorHAnsi"/>
        </w:rPr>
        <w:t>4391640</w:t>
      </w:r>
      <w:r w:rsidRPr="00B80A44">
        <w:rPr>
          <w:rFonts w:asciiTheme="minorHAnsi" w:hAnsiTheme="minorHAnsi" w:cstheme="minorHAnsi"/>
        </w:rPr>
        <w:t xml:space="preserve"> at *</w:t>
      </w:r>
      <w:r w:rsidR="00BB1355" w:rsidRPr="00B80A44">
        <w:rPr>
          <w:rFonts w:asciiTheme="minorHAnsi" w:hAnsiTheme="minorHAnsi" w:cstheme="minorHAnsi"/>
        </w:rPr>
        <w:t>24</w:t>
      </w:r>
      <w:r w:rsidRPr="00B80A44">
        <w:rPr>
          <w:rFonts w:asciiTheme="minorHAnsi" w:hAnsiTheme="minorHAnsi" w:cstheme="minorHAnsi"/>
        </w:rPr>
        <w:t xml:space="preserve">.  </w:t>
      </w:r>
    </w:p>
  </w:footnote>
  <w:footnote w:id="49">
    <w:p w14:paraId="53E49396" w14:textId="1BB98684"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G.S.</w:t>
      </w:r>
      <w:r w:rsidRPr="00B80A44">
        <w:rPr>
          <w:rFonts w:asciiTheme="minorHAnsi" w:hAnsiTheme="minorHAnsi" w:cstheme="minorHAnsi"/>
          <w:sz w:val="24"/>
          <w:szCs w:val="24"/>
        </w:rPr>
        <w:t xml:space="preserve">, 2021 WL 4268285 at *4; </w:t>
      </w:r>
      <w:r w:rsidRPr="00B80A44">
        <w:rPr>
          <w:rFonts w:asciiTheme="minorHAnsi" w:hAnsiTheme="minorHAnsi" w:cstheme="minorHAnsi"/>
          <w:i/>
          <w:sz w:val="24"/>
          <w:szCs w:val="24"/>
        </w:rPr>
        <w:t>see also</w:t>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Arc of Iowa</w:t>
      </w:r>
      <w:r w:rsidRPr="00B80A44">
        <w:rPr>
          <w:rFonts w:asciiTheme="minorHAnsi" w:hAnsiTheme="minorHAnsi" w:cstheme="minorHAnsi"/>
          <w:sz w:val="24"/>
          <w:szCs w:val="24"/>
        </w:rPr>
        <w:t>, 2021 WL 415572 at *10–12.  One federal court, without addressing the merits of the ADA and Section 504 claims, denied a motion for a preliminary injunction in a similar case brought in Florida, finding that that the plaintiffs had failed to exhaust administrative remedies under the IDEA because the allegations and relief requested in the complaint</w:t>
      </w:r>
      <w:r w:rsidR="005430CC" w:rsidRPr="00B80A44">
        <w:rPr>
          <w:rFonts w:asciiTheme="minorHAnsi" w:hAnsiTheme="minorHAnsi" w:cstheme="minorHAnsi"/>
          <w:sz w:val="24"/>
          <w:szCs w:val="24"/>
        </w:rPr>
        <w:t>, unlike in the instant case,</w:t>
      </w:r>
      <w:r w:rsidRPr="00B80A44">
        <w:rPr>
          <w:rFonts w:asciiTheme="minorHAnsi" w:hAnsiTheme="minorHAnsi" w:cstheme="minorHAnsi"/>
          <w:sz w:val="24"/>
          <w:szCs w:val="24"/>
        </w:rPr>
        <w:t xml:space="preserve"> were focused on the failure of the defendants to provide a free appropriate education as opposed to access to education.  </w:t>
      </w:r>
      <w:r w:rsidRPr="00B80A44">
        <w:rPr>
          <w:rFonts w:asciiTheme="minorHAnsi" w:hAnsiTheme="minorHAnsi" w:cstheme="minorHAnsi"/>
          <w:i/>
          <w:sz w:val="24"/>
          <w:szCs w:val="24"/>
        </w:rPr>
        <w:t>Hayes v. Desantis</w:t>
      </w:r>
      <w:r w:rsidRPr="00B80A44">
        <w:rPr>
          <w:rFonts w:asciiTheme="minorHAnsi" w:hAnsiTheme="minorHAnsi" w:cstheme="minorHAnsi"/>
          <w:sz w:val="24"/>
          <w:szCs w:val="24"/>
        </w:rPr>
        <w:t xml:space="preserve">, No. 1:21-cv-22863, ___ F. Supp. 3d ___, 2021 WL 4236698, at 7 (S.D. Fla. Sept. 15, 2021).  </w:t>
      </w:r>
    </w:p>
  </w:footnote>
  <w:footnote w:id="50">
    <w:p w14:paraId="258B8203" w14:textId="77777777" w:rsidR="00BB1355" w:rsidRPr="00B80A44" w:rsidRDefault="00BB1355" w:rsidP="00BB1355">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color w:val="000000"/>
          <w:sz w:val="24"/>
          <w:szCs w:val="24"/>
        </w:rPr>
        <w:t>Disability Rights South Carolina v. McMaster</w:t>
      </w:r>
      <w:r w:rsidRPr="00B80A44">
        <w:rPr>
          <w:rFonts w:asciiTheme="minorHAnsi" w:hAnsiTheme="minorHAnsi" w:cstheme="minorHAnsi"/>
          <w:color w:val="000000"/>
          <w:sz w:val="24"/>
          <w:szCs w:val="24"/>
        </w:rPr>
        <w:t>, No. 3:21-02728-MGL, 2021 WL 4444841, *11 (D.S.C. Sept. 28, 2021).</w:t>
      </w:r>
    </w:p>
  </w:footnote>
  <w:footnote w:id="51">
    <w:p w14:paraId="02FEC779"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42 U.S.C. §§ 12102(1)(A).  </w:t>
      </w:r>
    </w:p>
  </w:footnote>
  <w:footnote w:id="52">
    <w:p w14:paraId="0337289B" w14:textId="4695AB91"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7E08B5" w:rsidRPr="00B80A44">
        <w:rPr>
          <w:rFonts w:asciiTheme="minorHAnsi" w:hAnsiTheme="minorHAnsi" w:cstheme="minorHAnsi"/>
          <w:sz w:val="24"/>
          <w:szCs w:val="24"/>
        </w:rPr>
        <w:t xml:space="preserve">Ex. 14 (Stipulated Facts).  </w:t>
      </w:r>
    </w:p>
  </w:footnote>
  <w:footnote w:id="53">
    <w:p w14:paraId="761D65E6" w14:textId="0E03E935"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7E08B5" w:rsidRPr="00B80A44">
        <w:rPr>
          <w:rFonts w:asciiTheme="minorHAnsi" w:hAnsiTheme="minorHAnsi" w:cstheme="minorHAnsi"/>
          <w:i/>
          <w:iCs/>
          <w:sz w:val="24"/>
          <w:szCs w:val="24"/>
        </w:rPr>
        <w:t>Id</w:t>
      </w:r>
      <w:r w:rsidR="007E08B5" w:rsidRPr="00B80A44">
        <w:rPr>
          <w:rFonts w:asciiTheme="minorHAnsi" w:hAnsiTheme="minorHAnsi" w:cstheme="minorHAnsi"/>
          <w:sz w:val="24"/>
          <w:szCs w:val="24"/>
        </w:rPr>
        <w:t xml:space="preserve">. </w:t>
      </w:r>
      <w:r w:rsidRPr="00B80A44">
        <w:rPr>
          <w:rFonts w:asciiTheme="minorHAnsi" w:hAnsiTheme="minorHAnsi" w:cstheme="minorHAnsi"/>
          <w:sz w:val="24"/>
          <w:szCs w:val="24"/>
        </w:rPr>
        <w:t xml:space="preserve"> </w:t>
      </w:r>
    </w:p>
  </w:footnote>
  <w:footnote w:id="54">
    <w:p w14:paraId="60DB241B"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29 U.S.C. § 701(a)(3)(F) (Rehabilitation Act) (Congress found that individuals with disabilities should “enjoy full inclusion and integration in the economic, political, social, cultural, and educational mainstream of American Society.”); 42 U.S.C. § 12101 (ADA) (Congress found that individuals with disabilities should be assured “equality of opportunity, full participation, independent living, and economic self-sufficiency.”).  </w:t>
      </w:r>
    </w:p>
  </w:footnote>
  <w:footnote w:id="55">
    <w:p w14:paraId="5205063C"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42 U.S.C. § 12132; </w:t>
      </w:r>
      <w:r w:rsidRPr="00B80A44">
        <w:rPr>
          <w:rFonts w:asciiTheme="minorHAnsi" w:hAnsiTheme="minorHAnsi" w:cstheme="minorHAnsi"/>
          <w:i/>
          <w:iCs/>
          <w:sz w:val="24"/>
          <w:szCs w:val="24"/>
        </w:rPr>
        <w:t xml:space="preserve">Wilson, </w:t>
      </w:r>
      <w:r w:rsidRPr="00B80A44">
        <w:rPr>
          <w:rFonts w:asciiTheme="minorHAnsi" w:hAnsiTheme="minorHAnsi" w:cstheme="minorHAnsi"/>
          <w:sz w:val="24"/>
          <w:szCs w:val="24"/>
        </w:rPr>
        <w:t>936 F. 3d at 330.</w:t>
      </w:r>
    </w:p>
  </w:footnote>
  <w:footnote w:id="56">
    <w:p w14:paraId="25CD1140"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28 C.F.R. § 35.130(b)(1)(i)-(ii), (vii).</w:t>
      </w:r>
    </w:p>
  </w:footnote>
  <w:footnote w:id="57">
    <w:p w14:paraId="471B9BD7" w14:textId="77777777"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28 C.F.R. § 35.130(b)(7)(i); </w:t>
      </w:r>
      <w:r w:rsidRPr="00B80A44">
        <w:rPr>
          <w:rFonts w:asciiTheme="minorHAnsi" w:hAnsiTheme="minorHAnsi" w:cstheme="minorHAnsi"/>
          <w:i/>
          <w:iCs/>
          <w:sz w:val="24"/>
          <w:szCs w:val="24"/>
          <w:lang w:val="es-ES"/>
        </w:rPr>
        <w:t>Cadena v. El Paso Cty</w:t>
      </w:r>
      <w:r w:rsidRPr="00B80A44">
        <w:rPr>
          <w:rFonts w:asciiTheme="minorHAnsi" w:hAnsiTheme="minorHAnsi" w:cstheme="minorHAnsi"/>
          <w:sz w:val="24"/>
          <w:szCs w:val="24"/>
          <w:lang w:val="es-ES"/>
        </w:rPr>
        <w:t xml:space="preserve">., 946 F.3d 717, 723–24 (5th Cir. 2020).  </w:t>
      </w:r>
    </w:p>
  </w:footnote>
  <w:footnote w:id="58">
    <w:p w14:paraId="09366DE9"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28 C.F.R. § 35.150.</w:t>
      </w:r>
    </w:p>
  </w:footnote>
  <w:footnote w:id="59">
    <w:p w14:paraId="08233F37"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Argenyi v. Creighton Univ.</w:t>
      </w:r>
      <w:r w:rsidRPr="00B80A44">
        <w:rPr>
          <w:rFonts w:asciiTheme="minorHAnsi" w:hAnsiTheme="minorHAnsi" w:cstheme="minorHAnsi"/>
          <w:sz w:val="24"/>
          <w:szCs w:val="24"/>
        </w:rPr>
        <w:t>, 703 F.3d 441, 449 (6th Cir. 2013) (§ 504 and ADA Title III). </w:t>
      </w:r>
    </w:p>
  </w:footnote>
  <w:footnote w:id="60">
    <w:p w14:paraId="4B3CE3F7" w14:textId="79197E3F" w:rsidR="004130C6" w:rsidRPr="00B80A44" w:rsidRDefault="004130C6" w:rsidP="00545E56">
      <w:pPr>
        <w:pStyle w:val="FootnoteText"/>
        <w:rPr>
          <w:rFonts w:asciiTheme="minorHAnsi" w:hAnsiTheme="minorHAnsi" w:cstheme="minorHAnsi"/>
          <w:sz w:val="24"/>
          <w:szCs w:val="24"/>
        </w:rPr>
      </w:pPr>
      <w:bookmarkStart w:id="155" w:name="_Hlk83842734"/>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CE4736" w:rsidRPr="00B80A44">
        <w:rPr>
          <w:rFonts w:asciiTheme="minorHAnsi" w:hAnsiTheme="minorHAnsi" w:cstheme="minorHAnsi"/>
          <w:sz w:val="24"/>
          <w:szCs w:val="24"/>
        </w:rPr>
        <w:t>195</w:t>
      </w:r>
      <w:r w:rsidRPr="00B80A44">
        <w:rPr>
          <w:rFonts w:asciiTheme="minorHAnsi" w:hAnsiTheme="minorHAnsi" w:cstheme="minorHAnsi"/>
          <w:sz w:val="24"/>
          <w:szCs w:val="24"/>
        </w:rPr>
        <w:t xml:space="preserve"> (“[R]ight now the provisions of Executive Order GA-38 that bar mask mandates are effective. In light of this legal development, at this time, the District is not requiring the wearing of masks.”)</w:t>
      </w:r>
      <w:r w:rsidR="00806104" w:rsidRPr="00B80A44">
        <w:rPr>
          <w:rFonts w:asciiTheme="minorHAnsi" w:hAnsiTheme="minorHAnsi" w:cstheme="minorHAnsi"/>
          <w:sz w:val="24"/>
          <w:szCs w:val="24"/>
        </w:rPr>
        <w:t>.</w:t>
      </w:r>
      <w:bookmarkEnd w:id="155"/>
    </w:p>
  </w:footnote>
  <w:footnote w:id="61">
    <w:p w14:paraId="7A026367" w14:textId="40918D4E"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w:t>
      </w:r>
      <w:r w:rsidR="007E08B5" w:rsidRPr="00B80A44">
        <w:rPr>
          <w:rFonts w:asciiTheme="minorHAnsi" w:hAnsiTheme="minorHAnsi" w:cstheme="minorHAnsi"/>
          <w:sz w:val="24"/>
          <w:szCs w:val="24"/>
          <w:lang w:val="es-ES"/>
        </w:rPr>
        <w:t xml:space="preserve"> 226</w:t>
      </w:r>
      <w:r w:rsidRPr="00B80A44">
        <w:rPr>
          <w:rFonts w:asciiTheme="minorHAnsi" w:hAnsiTheme="minorHAnsi" w:cstheme="minorHAnsi"/>
          <w:sz w:val="24"/>
          <w:szCs w:val="24"/>
          <w:lang w:val="es-ES"/>
        </w:rPr>
        <w:t xml:space="preserve"> </w:t>
      </w:r>
      <w:r w:rsidR="00F453A5" w:rsidRPr="00B80A44">
        <w:rPr>
          <w:rFonts w:asciiTheme="minorHAnsi" w:hAnsiTheme="minorHAnsi" w:cstheme="minorHAnsi"/>
          <w:sz w:val="24"/>
          <w:szCs w:val="24"/>
          <w:lang w:val="es-ES"/>
        </w:rPr>
        <w:t>¶</w:t>
      </w:r>
      <w:r w:rsidRPr="00B80A44">
        <w:rPr>
          <w:rFonts w:asciiTheme="minorHAnsi" w:hAnsiTheme="minorHAnsi" w:cstheme="minorHAnsi"/>
          <w:sz w:val="24"/>
          <w:szCs w:val="24"/>
          <w:lang w:val="es-ES"/>
        </w:rPr>
        <w:t xml:space="preserve"> 7-13; </w:t>
      </w:r>
      <w:r w:rsidR="007E08B5" w:rsidRPr="00B80A44">
        <w:rPr>
          <w:rFonts w:asciiTheme="minorHAnsi" w:hAnsiTheme="minorHAnsi" w:cstheme="minorHAnsi"/>
          <w:sz w:val="24"/>
          <w:szCs w:val="24"/>
          <w:lang w:val="es-ES"/>
        </w:rPr>
        <w:t xml:space="preserve">Ex. 14. </w:t>
      </w:r>
      <w:r w:rsidRPr="00B80A44">
        <w:rPr>
          <w:rFonts w:asciiTheme="minorHAnsi" w:hAnsiTheme="minorHAnsi" w:cstheme="minorHAnsi"/>
          <w:sz w:val="24"/>
          <w:szCs w:val="24"/>
          <w:lang w:val="es-ES"/>
        </w:rPr>
        <w:t xml:space="preserve">  </w:t>
      </w:r>
    </w:p>
  </w:footnote>
  <w:footnote w:id="62">
    <w:p w14:paraId="48AC5D1B" w14:textId="3DF24FAE"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w:t>
      </w:r>
      <w:r w:rsidR="007E08B5" w:rsidRPr="00B80A44">
        <w:rPr>
          <w:rFonts w:asciiTheme="minorHAnsi" w:hAnsiTheme="minorHAnsi" w:cstheme="minorHAnsi"/>
          <w:sz w:val="24"/>
          <w:szCs w:val="24"/>
          <w:lang w:val="es-ES"/>
        </w:rPr>
        <w:t xml:space="preserve"> 14.</w:t>
      </w:r>
    </w:p>
  </w:footnote>
  <w:footnote w:id="63">
    <w:p w14:paraId="177CA3DC" w14:textId="0DB3C7FB"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 </w:t>
      </w:r>
      <w:r w:rsidR="007E08B5" w:rsidRPr="00B80A44">
        <w:rPr>
          <w:rFonts w:asciiTheme="minorHAnsi" w:hAnsiTheme="minorHAnsi" w:cstheme="minorHAnsi"/>
          <w:sz w:val="24"/>
          <w:szCs w:val="24"/>
          <w:lang w:val="es-ES"/>
        </w:rPr>
        <w:t>14.</w:t>
      </w:r>
    </w:p>
  </w:footnote>
  <w:footnote w:id="64">
    <w:p w14:paraId="23A6FA9A" w14:textId="2A26C909"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7E08B5" w:rsidRPr="00B80A44">
        <w:rPr>
          <w:rFonts w:asciiTheme="minorHAnsi" w:hAnsiTheme="minorHAnsi" w:cstheme="minorHAnsi"/>
          <w:i/>
          <w:iCs/>
          <w:sz w:val="24"/>
          <w:szCs w:val="24"/>
          <w:lang w:val="es-ES"/>
        </w:rPr>
        <w:t>Id</w:t>
      </w:r>
      <w:r w:rsidR="007E08B5" w:rsidRPr="00B80A44">
        <w:rPr>
          <w:rFonts w:asciiTheme="minorHAnsi" w:hAnsiTheme="minorHAnsi" w:cstheme="minorHAnsi"/>
          <w:sz w:val="24"/>
          <w:szCs w:val="24"/>
          <w:lang w:val="es-ES"/>
        </w:rPr>
        <w:t>.</w:t>
      </w:r>
    </w:p>
  </w:footnote>
  <w:footnote w:id="65">
    <w:p w14:paraId="57E8AAF4" w14:textId="74F4E31D"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7E08B5" w:rsidRPr="00B80A44">
        <w:rPr>
          <w:rFonts w:asciiTheme="minorHAnsi" w:hAnsiTheme="minorHAnsi" w:cstheme="minorHAnsi"/>
          <w:i/>
          <w:iCs/>
          <w:sz w:val="24"/>
          <w:szCs w:val="24"/>
          <w:lang w:val="es-ES"/>
        </w:rPr>
        <w:t>Id</w:t>
      </w:r>
      <w:r w:rsidR="007E08B5" w:rsidRPr="00B80A44">
        <w:rPr>
          <w:rFonts w:asciiTheme="minorHAnsi" w:hAnsiTheme="minorHAnsi" w:cstheme="minorHAnsi"/>
          <w:sz w:val="24"/>
          <w:szCs w:val="24"/>
          <w:lang w:val="es-ES"/>
        </w:rPr>
        <w:t>.</w:t>
      </w:r>
    </w:p>
  </w:footnote>
  <w:footnote w:id="66">
    <w:p w14:paraId="13F337A6" w14:textId="28879A39"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 </w:t>
      </w:r>
      <w:r w:rsidR="007E08B5" w:rsidRPr="00B80A44">
        <w:rPr>
          <w:rFonts w:asciiTheme="minorHAnsi" w:hAnsiTheme="minorHAnsi" w:cstheme="minorHAnsi"/>
          <w:sz w:val="24"/>
          <w:szCs w:val="24"/>
          <w:lang w:val="es-ES"/>
        </w:rPr>
        <w:t>225,</w:t>
      </w:r>
      <w:r w:rsidRPr="00B80A44">
        <w:rPr>
          <w:rFonts w:asciiTheme="minorHAnsi" w:hAnsiTheme="minorHAnsi" w:cstheme="minorHAnsi"/>
          <w:sz w:val="24"/>
          <w:szCs w:val="24"/>
          <w:lang w:val="es-ES"/>
        </w:rPr>
        <w:t xml:space="preserve"> </w:t>
      </w:r>
      <w:r w:rsidR="00F453A5" w:rsidRPr="00B80A44">
        <w:rPr>
          <w:rFonts w:asciiTheme="minorHAnsi" w:hAnsiTheme="minorHAnsi" w:cstheme="minorHAnsi"/>
          <w:sz w:val="24"/>
          <w:szCs w:val="24"/>
          <w:lang w:val="es-ES"/>
        </w:rPr>
        <w:t>¶</w:t>
      </w:r>
      <w:r w:rsidRPr="00B80A44">
        <w:rPr>
          <w:rFonts w:asciiTheme="minorHAnsi" w:hAnsiTheme="minorHAnsi" w:cstheme="minorHAnsi"/>
          <w:sz w:val="24"/>
          <w:szCs w:val="24"/>
          <w:lang w:val="es-ES"/>
        </w:rPr>
        <w:t xml:space="preserve"> 12; Ex. </w:t>
      </w:r>
      <w:r w:rsidR="007E08B5" w:rsidRPr="00B80A44">
        <w:rPr>
          <w:rFonts w:asciiTheme="minorHAnsi" w:hAnsiTheme="minorHAnsi" w:cstheme="minorHAnsi"/>
          <w:sz w:val="24"/>
          <w:szCs w:val="24"/>
          <w:lang w:val="es-ES"/>
        </w:rPr>
        <w:t>223,</w:t>
      </w:r>
      <w:r w:rsidRPr="00B80A44">
        <w:rPr>
          <w:rFonts w:asciiTheme="minorHAnsi" w:hAnsiTheme="minorHAnsi" w:cstheme="minorHAnsi"/>
          <w:sz w:val="24"/>
          <w:szCs w:val="24"/>
          <w:lang w:val="es-ES"/>
        </w:rPr>
        <w:t xml:space="preserve"> </w:t>
      </w:r>
      <w:r w:rsidR="00F453A5" w:rsidRPr="00B80A44">
        <w:rPr>
          <w:rFonts w:asciiTheme="minorHAnsi" w:hAnsiTheme="minorHAnsi" w:cstheme="minorHAnsi"/>
          <w:sz w:val="24"/>
          <w:szCs w:val="24"/>
          <w:lang w:val="es-ES"/>
        </w:rPr>
        <w:t>¶</w:t>
      </w:r>
      <w:r w:rsidRPr="00B80A44">
        <w:rPr>
          <w:rFonts w:asciiTheme="minorHAnsi" w:hAnsiTheme="minorHAnsi" w:cstheme="minorHAnsi"/>
          <w:sz w:val="24"/>
          <w:szCs w:val="24"/>
          <w:lang w:val="es-ES"/>
        </w:rPr>
        <w:t xml:space="preserve"> 12; </w:t>
      </w:r>
      <w:r w:rsidR="007E08B5" w:rsidRPr="00B80A44">
        <w:rPr>
          <w:rFonts w:asciiTheme="minorHAnsi" w:hAnsiTheme="minorHAnsi" w:cstheme="minorHAnsi"/>
          <w:sz w:val="24"/>
          <w:szCs w:val="24"/>
          <w:lang w:val="es-ES"/>
        </w:rPr>
        <w:t xml:space="preserve">Ex. 230, ¶ 11; </w:t>
      </w:r>
      <w:r w:rsidRPr="00B80A44">
        <w:rPr>
          <w:rFonts w:asciiTheme="minorHAnsi" w:hAnsiTheme="minorHAnsi" w:cstheme="minorHAnsi"/>
          <w:sz w:val="24"/>
          <w:szCs w:val="24"/>
          <w:lang w:val="es-ES"/>
        </w:rPr>
        <w:t xml:space="preserve">Ex. </w:t>
      </w:r>
      <w:r w:rsidR="007E08B5" w:rsidRPr="00B80A44">
        <w:rPr>
          <w:rFonts w:asciiTheme="minorHAnsi" w:hAnsiTheme="minorHAnsi" w:cstheme="minorHAnsi"/>
          <w:sz w:val="24"/>
          <w:szCs w:val="24"/>
          <w:lang w:val="es-ES"/>
        </w:rPr>
        <w:t>14.</w:t>
      </w:r>
    </w:p>
  </w:footnote>
  <w:footnote w:id="67">
    <w:p w14:paraId="74AA8915"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42 U.S.C. § 12132; </w:t>
      </w:r>
      <w:r w:rsidRPr="00B80A44">
        <w:rPr>
          <w:rFonts w:asciiTheme="minorHAnsi" w:hAnsiTheme="minorHAnsi" w:cstheme="minorHAnsi"/>
          <w:i/>
          <w:iCs/>
          <w:sz w:val="24"/>
          <w:szCs w:val="24"/>
        </w:rPr>
        <w:t xml:space="preserve">Wilson, </w:t>
      </w:r>
      <w:r w:rsidRPr="00B80A44">
        <w:rPr>
          <w:rFonts w:asciiTheme="minorHAnsi" w:hAnsiTheme="minorHAnsi" w:cstheme="minorHAnsi"/>
          <w:sz w:val="24"/>
          <w:szCs w:val="24"/>
        </w:rPr>
        <w:t>936 F. 3d at 330.</w:t>
      </w:r>
    </w:p>
  </w:footnote>
  <w:footnote w:id="68">
    <w:p w14:paraId="4D59EA28" w14:textId="08DA0DAA"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7E08B5" w:rsidRPr="00B80A44">
        <w:rPr>
          <w:rFonts w:asciiTheme="minorHAnsi" w:hAnsiTheme="minorHAnsi" w:cstheme="minorHAnsi"/>
          <w:sz w:val="24"/>
          <w:szCs w:val="24"/>
        </w:rPr>
        <w:t>15</w:t>
      </w:r>
      <w:r w:rsidRPr="00B80A44">
        <w:rPr>
          <w:rFonts w:asciiTheme="minorHAnsi" w:hAnsiTheme="minorHAnsi" w:cstheme="minorHAnsi"/>
          <w:sz w:val="24"/>
          <w:szCs w:val="24"/>
        </w:rPr>
        <w:t xml:space="preserve"> at </w:t>
      </w:r>
      <w:r w:rsidR="00BF3AAC" w:rsidRPr="00B80A44">
        <w:rPr>
          <w:rFonts w:asciiTheme="minorHAnsi" w:hAnsiTheme="minorHAnsi" w:cstheme="minorHAnsi"/>
          <w:sz w:val="24"/>
          <w:szCs w:val="24"/>
        </w:rPr>
        <w:t xml:space="preserve">Section </w:t>
      </w:r>
      <w:r w:rsidRPr="00B80A44">
        <w:rPr>
          <w:rFonts w:asciiTheme="minorHAnsi" w:hAnsiTheme="minorHAnsi" w:cstheme="minorHAnsi"/>
          <w:sz w:val="24"/>
          <w:szCs w:val="24"/>
        </w:rPr>
        <w:t>III</w:t>
      </w:r>
      <w:r w:rsidR="00BF3AAC" w:rsidRPr="00B80A44">
        <w:rPr>
          <w:rFonts w:asciiTheme="minorHAnsi" w:hAnsiTheme="minorHAnsi" w:cstheme="minorHAnsi"/>
          <w:sz w:val="24"/>
          <w:szCs w:val="24"/>
        </w:rPr>
        <w:t>,</w:t>
      </w:r>
      <w:r w:rsidR="007E08B5" w:rsidRPr="00B80A44">
        <w:rPr>
          <w:rFonts w:asciiTheme="minorHAnsi" w:hAnsiTheme="minorHAnsi" w:cstheme="minorHAnsi"/>
          <w:sz w:val="24"/>
          <w:szCs w:val="24"/>
        </w:rPr>
        <w:t xml:space="preserve"> ¶¶</w:t>
      </w:r>
      <w:r w:rsidRPr="00B80A44">
        <w:rPr>
          <w:rFonts w:asciiTheme="minorHAnsi" w:hAnsiTheme="minorHAnsi" w:cstheme="minorHAnsi"/>
          <w:sz w:val="24"/>
          <w:szCs w:val="24"/>
        </w:rPr>
        <w:t xml:space="preserve"> 1, 3, 6; Ex. </w:t>
      </w:r>
      <w:r w:rsidR="007E08B5" w:rsidRPr="00B80A44">
        <w:rPr>
          <w:rFonts w:asciiTheme="minorHAnsi" w:hAnsiTheme="minorHAnsi" w:cstheme="minorHAnsi"/>
          <w:sz w:val="24"/>
          <w:szCs w:val="24"/>
        </w:rPr>
        <w:t>16</w:t>
      </w:r>
      <w:r w:rsidR="00BF3AAC" w:rsidRPr="00B80A44">
        <w:rPr>
          <w:rFonts w:asciiTheme="minorHAnsi" w:hAnsiTheme="minorHAnsi" w:cstheme="minorHAnsi"/>
          <w:sz w:val="24"/>
          <w:szCs w:val="24"/>
        </w:rPr>
        <w:t xml:space="preserve"> at Section </w:t>
      </w:r>
      <w:r w:rsidRPr="00B80A44">
        <w:rPr>
          <w:rFonts w:asciiTheme="minorHAnsi" w:hAnsiTheme="minorHAnsi" w:cstheme="minorHAnsi"/>
          <w:sz w:val="24"/>
          <w:szCs w:val="24"/>
        </w:rPr>
        <w:t>III</w:t>
      </w:r>
      <w:r w:rsidR="00BF3AAC" w:rsidRPr="00B80A44">
        <w:rPr>
          <w:rFonts w:asciiTheme="minorHAnsi" w:hAnsiTheme="minorHAnsi" w:cstheme="minorHAnsi"/>
          <w:sz w:val="24"/>
          <w:szCs w:val="24"/>
        </w:rPr>
        <w:t>, ¶</w:t>
      </w:r>
      <w:r w:rsidRPr="00B80A44">
        <w:rPr>
          <w:rFonts w:asciiTheme="minorHAnsi" w:hAnsiTheme="minorHAnsi" w:cstheme="minorHAnsi"/>
          <w:sz w:val="24"/>
          <w:szCs w:val="24"/>
        </w:rPr>
        <w:t xml:space="preserve"> </w:t>
      </w:r>
      <w:r w:rsidR="00BF3AAC" w:rsidRPr="00B80A44">
        <w:rPr>
          <w:rFonts w:asciiTheme="minorHAnsi" w:hAnsiTheme="minorHAnsi" w:cstheme="minorHAnsi"/>
          <w:sz w:val="24"/>
          <w:szCs w:val="24"/>
        </w:rPr>
        <w:t>3</w:t>
      </w:r>
      <w:r w:rsidR="007E08B5" w:rsidRPr="00B80A44">
        <w:rPr>
          <w:rFonts w:asciiTheme="minorHAnsi" w:hAnsiTheme="minorHAnsi" w:cstheme="minorHAnsi"/>
          <w:sz w:val="24"/>
          <w:szCs w:val="24"/>
        </w:rPr>
        <w:t>.</w:t>
      </w:r>
    </w:p>
  </w:footnote>
  <w:footnote w:id="69">
    <w:p w14:paraId="3DCCEA0F" w14:textId="77777777" w:rsidR="00782EE6" w:rsidRPr="001146D8" w:rsidRDefault="00782EE6" w:rsidP="00782EE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1146D8">
        <w:rPr>
          <w:rFonts w:asciiTheme="minorHAnsi" w:hAnsiTheme="minorHAnsi" w:cstheme="minorHAnsi"/>
          <w:sz w:val="24"/>
          <w:szCs w:val="24"/>
          <w:lang w:val="es-ES"/>
        </w:rPr>
        <w:t xml:space="preserve"> 2021 WL 4444841 at *10.</w:t>
      </w:r>
    </w:p>
  </w:footnote>
  <w:footnote w:id="70">
    <w:p w14:paraId="0D78E05E" w14:textId="7195809D"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 </w:t>
      </w:r>
      <w:r w:rsidR="00BF3AAC" w:rsidRPr="00B80A44">
        <w:rPr>
          <w:rFonts w:asciiTheme="minorHAnsi" w:hAnsiTheme="minorHAnsi" w:cstheme="minorHAnsi"/>
          <w:sz w:val="24"/>
          <w:szCs w:val="24"/>
          <w:lang w:val="es-ES"/>
        </w:rPr>
        <w:t>14</w:t>
      </w:r>
      <w:r w:rsidRPr="00B80A44">
        <w:rPr>
          <w:rFonts w:asciiTheme="minorHAnsi" w:hAnsiTheme="minorHAnsi" w:cstheme="minorHAnsi"/>
          <w:sz w:val="24"/>
          <w:szCs w:val="24"/>
          <w:lang w:val="es-ES"/>
        </w:rPr>
        <w:t>.</w:t>
      </w:r>
    </w:p>
  </w:footnote>
  <w:footnote w:id="71">
    <w:p w14:paraId="714435D6" w14:textId="7D6B4895"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 </w:t>
      </w:r>
      <w:r w:rsidR="00BF3AAC" w:rsidRPr="00B80A44">
        <w:rPr>
          <w:rFonts w:asciiTheme="minorHAnsi" w:hAnsiTheme="minorHAnsi" w:cstheme="minorHAnsi"/>
          <w:sz w:val="24"/>
          <w:szCs w:val="24"/>
          <w:lang w:val="es-ES"/>
        </w:rPr>
        <w:t>12</w:t>
      </w:r>
      <w:r w:rsidRPr="00B80A44">
        <w:rPr>
          <w:rFonts w:asciiTheme="minorHAnsi" w:hAnsiTheme="minorHAnsi" w:cstheme="minorHAnsi"/>
          <w:sz w:val="24"/>
          <w:szCs w:val="24"/>
          <w:lang w:val="es-ES"/>
        </w:rPr>
        <w:t>.</w:t>
      </w:r>
    </w:p>
  </w:footnote>
  <w:footnote w:id="72">
    <w:p w14:paraId="60D23BB7" w14:textId="1BC905D8"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Ex.</w:t>
      </w:r>
      <w:r w:rsidR="00BF3AAC" w:rsidRPr="00B80A44">
        <w:rPr>
          <w:rFonts w:asciiTheme="minorHAnsi" w:hAnsiTheme="minorHAnsi" w:cstheme="minorHAnsi"/>
          <w:sz w:val="24"/>
          <w:szCs w:val="24"/>
          <w:lang w:val="es-ES"/>
        </w:rPr>
        <w:t xml:space="preserve"> 14.</w:t>
      </w:r>
    </w:p>
  </w:footnote>
  <w:footnote w:id="73">
    <w:p w14:paraId="7C49C7C0" w14:textId="7CF3D401" w:rsidR="004130C6" w:rsidRPr="001146D8"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1146D8">
        <w:rPr>
          <w:rFonts w:asciiTheme="minorHAnsi" w:hAnsiTheme="minorHAnsi" w:cstheme="minorHAnsi"/>
          <w:sz w:val="24"/>
          <w:szCs w:val="24"/>
        </w:rPr>
        <w:t xml:space="preserve"> </w:t>
      </w:r>
      <w:r w:rsidR="00BF3AAC" w:rsidRPr="001146D8">
        <w:rPr>
          <w:rFonts w:asciiTheme="minorHAnsi" w:hAnsiTheme="minorHAnsi" w:cstheme="minorHAnsi"/>
          <w:i/>
          <w:iCs/>
          <w:sz w:val="24"/>
          <w:szCs w:val="24"/>
        </w:rPr>
        <w:t>Id</w:t>
      </w:r>
      <w:r w:rsidR="00BF3AAC" w:rsidRPr="001146D8">
        <w:rPr>
          <w:rFonts w:asciiTheme="minorHAnsi" w:hAnsiTheme="minorHAnsi" w:cstheme="minorHAnsi"/>
          <w:sz w:val="24"/>
          <w:szCs w:val="24"/>
        </w:rPr>
        <w:t>.</w:t>
      </w:r>
    </w:p>
  </w:footnote>
  <w:footnote w:id="74">
    <w:p w14:paraId="3580FCA6" w14:textId="7BBA67E6" w:rsidR="004130C6" w:rsidRPr="001146D8"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1146D8">
        <w:rPr>
          <w:rFonts w:asciiTheme="minorHAnsi" w:hAnsiTheme="minorHAnsi" w:cstheme="minorHAnsi"/>
          <w:sz w:val="24"/>
          <w:szCs w:val="24"/>
        </w:rPr>
        <w:t xml:space="preserve"> Ex. </w:t>
      </w:r>
      <w:r w:rsidR="00BF3AAC" w:rsidRPr="001146D8">
        <w:rPr>
          <w:rFonts w:asciiTheme="minorHAnsi" w:hAnsiTheme="minorHAnsi" w:cstheme="minorHAnsi"/>
          <w:sz w:val="24"/>
          <w:szCs w:val="24"/>
        </w:rPr>
        <w:t>27</w:t>
      </w:r>
      <w:r w:rsidRPr="001146D8">
        <w:rPr>
          <w:rFonts w:asciiTheme="minorHAnsi" w:hAnsiTheme="minorHAnsi" w:cstheme="minorHAnsi"/>
          <w:sz w:val="24"/>
          <w:szCs w:val="24"/>
        </w:rPr>
        <w:t>.</w:t>
      </w:r>
    </w:p>
  </w:footnote>
  <w:footnote w:id="75">
    <w:p w14:paraId="3069355C" w14:textId="7EA874B3"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BF3AAC" w:rsidRPr="00B80A44">
        <w:rPr>
          <w:rFonts w:asciiTheme="minorHAnsi" w:hAnsiTheme="minorHAnsi" w:cstheme="minorHAnsi"/>
          <w:sz w:val="24"/>
          <w:szCs w:val="24"/>
        </w:rPr>
        <w:t>14</w:t>
      </w:r>
      <w:r w:rsidRPr="00B80A44">
        <w:rPr>
          <w:rFonts w:asciiTheme="minorHAnsi" w:hAnsiTheme="minorHAnsi" w:cstheme="minorHAnsi"/>
          <w:sz w:val="24"/>
          <w:szCs w:val="24"/>
        </w:rPr>
        <w:t>.</w:t>
      </w:r>
    </w:p>
  </w:footnote>
  <w:footnote w:id="76">
    <w:p w14:paraId="4F30E815" w14:textId="1D3AFB4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BF3AAC" w:rsidRPr="00B80A44">
        <w:rPr>
          <w:rFonts w:asciiTheme="minorHAnsi" w:hAnsiTheme="minorHAnsi" w:cstheme="minorHAnsi"/>
          <w:i/>
          <w:iCs/>
          <w:sz w:val="24"/>
          <w:szCs w:val="24"/>
        </w:rPr>
        <w:t>Id</w:t>
      </w:r>
      <w:r w:rsidRPr="00B80A44">
        <w:rPr>
          <w:rFonts w:asciiTheme="minorHAnsi" w:hAnsiTheme="minorHAnsi" w:cstheme="minorHAnsi"/>
          <w:sz w:val="24"/>
          <w:szCs w:val="24"/>
        </w:rPr>
        <w:t>.</w:t>
      </w:r>
    </w:p>
  </w:footnote>
  <w:footnote w:id="77">
    <w:p w14:paraId="2244496B"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Argenyi</w:t>
      </w:r>
      <w:r w:rsidRPr="00B80A44">
        <w:rPr>
          <w:rFonts w:asciiTheme="minorHAnsi" w:hAnsiTheme="minorHAnsi" w:cstheme="minorHAnsi"/>
          <w:sz w:val="24"/>
          <w:szCs w:val="24"/>
        </w:rPr>
        <w:t>, 703 F.3d at 449. </w:t>
      </w:r>
    </w:p>
  </w:footnote>
  <w:footnote w:id="78">
    <w:p w14:paraId="30C154E8" w14:textId="77777777" w:rsidR="004130C6" w:rsidRPr="00B80A44" w:rsidRDefault="004130C6" w:rsidP="00545E56">
      <w:pPr>
        <w:rPr>
          <w:rFonts w:asciiTheme="minorHAnsi" w:hAnsiTheme="minorHAnsi" w:cstheme="minorHAnsi"/>
        </w:rPr>
      </w:pPr>
      <w:r w:rsidRPr="00B80A44">
        <w:rPr>
          <w:rStyle w:val="FootnoteReference"/>
          <w:rFonts w:asciiTheme="minorHAnsi" w:hAnsiTheme="minorHAnsi" w:cstheme="minorHAnsi"/>
        </w:rPr>
        <w:footnoteRef/>
      </w:r>
      <w:r w:rsidRPr="00B80A44">
        <w:rPr>
          <w:rFonts w:asciiTheme="minorHAnsi" w:hAnsiTheme="minorHAnsi" w:cstheme="minorHAnsi"/>
        </w:rPr>
        <w:t xml:space="preserve">  </w:t>
      </w:r>
      <w:r w:rsidRPr="00B80A44">
        <w:rPr>
          <w:rFonts w:asciiTheme="minorHAnsi" w:hAnsiTheme="minorHAnsi" w:cstheme="minorHAnsi"/>
          <w:i/>
        </w:rPr>
        <w:t>Arc of Iowa</w:t>
      </w:r>
      <w:r w:rsidRPr="00B80A44">
        <w:rPr>
          <w:rFonts w:asciiTheme="minorHAnsi" w:hAnsiTheme="minorHAnsi" w:cstheme="minorHAnsi"/>
        </w:rPr>
        <w:t xml:space="preserve"> at *37.  </w:t>
      </w:r>
      <w:bookmarkStart w:id="158" w:name="_Hlk83231224"/>
      <w:bookmarkEnd w:id="158"/>
    </w:p>
  </w:footnote>
  <w:footnote w:id="79">
    <w:p w14:paraId="56BB16E8" w14:textId="5F7D7E47" w:rsidR="00782EE6" w:rsidRPr="00B80A44" w:rsidRDefault="00782EE6" w:rsidP="00782EE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R.K.</w:t>
      </w:r>
      <w:r w:rsidRPr="00B80A44">
        <w:rPr>
          <w:rFonts w:asciiTheme="minorHAnsi" w:hAnsiTheme="minorHAnsi" w:cstheme="minorHAnsi"/>
          <w:iCs/>
          <w:sz w:val="24"/>
          <w:szCs w:val="24"/>
        </w:rPr>
        <w:t>, 2021 WL 4391640,</w:t>
      </w:r>
      <w:r w:rsidRPr="00B80A44">
        <w:rPr>
          <w:rFonts w:asciiTheme="minorHAnsi" w:hAnsiTheme="minorHAnsi" w:cstheme="minorHAnsi"/>
          <w:i/>
          <w:sz w:val="24"/>
          <w:szCs w:val="24"/>
        </w:rPr>
        <w:t xml:space="preserve"> </w:t>
      </w:r>
      <w:r w:rsidRPr="00B80A44">
        <w:rPr>
          <w:rFonts w:asciiTheme="minorHAnsi" w:hAnsiTheme="minorHAnsi" w:cstheme="minorHAnsi"/>
          <w:sz w:val="24"/>
          <w:szCs w:val="24"/>
        </w:rPr>
        <w:t>at *6</w:t>
      </w:r>
      <w:r w:rsidRPr="00B80A44">
        <w:rPr>
          <w:rFonts w:asciiTheme="minorHAnsi" w:hAnsiTheme="minorHAnsi" w:cstheme="minorHAnsi"/>
          <w:i/>
          <w:sz w:val="24"/>
          <w:szCs w:val="24"/>
        </w:rPr>
        <w:t>.</w:t>
      </w:r>
    </w:p>
  </w:footnote>
  <w:footnote w:id="80">
    <w:p w14:paraId="03E30341"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509 U.S. 25, 333 (1993).  </w:t>
      </w:r>
    </w:p>
  </w:footnote>
  <w:footnote w:id="81">
    <w:p w14:paraId="37008637"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Id</w:t>
      </w:r>
      <w:r w:rsidRPr="00B80A44">
        <w:rPr>
          <w:rFonts w:asciiTheme="minorHAnsi" w:hAnsiTheme="minorHAnsi" w:cstheme="minorHAnsi"/>
          <w:sz w:val="24"/>
          <w:szCs w:val="24"/>
        </w:rPr>
        <w:t>. at 28.</w:t>
      </w:r>
    </w:p>
  </w:footnote>
  <w:footnote w:id="82">
    <w:p w14:paraId="2A29CF43"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Id</w:t>
      </w:r>
      <w:r w:rsidRPr="00B80A44">
        <w:rPr>
          <w:rFonts w:asciiTheme="minorHAnsi" w:hAnsiTheme="minorHAnsi" w:cstheme="minorHAnsi"/>
          <w:sz w:val="24"/>
          <w:szCs w:val="24"/>
        </w:rPr>
        <w:t>. at 32, 35.</w:t>
      </w:r>
    </w:p>
  </w:footnote>
  <w:footnote w:id="83">
    <w:p w14:paraId="21010AAB" w14:textId="037592E2"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Arc of Iowa</w:t>
      </w:r>
      <w:r w:rsidRPr="00B80A44">
        <w:rPr>
          <w:rFonts w:asciiTheme="minorHAnsi" w:hAnsiTheme="minorHAnsi" w:cstheme="minorHAnsi"/>
          <w:sz w:val="24"/>
          <w:szCs w:val="24"/>
        </w:rPr>
        <w:t xml:space="preserve">, 2021 WL 4166728; </w:t>
      </w:r>
      <w:r w:rsidRPr="00B80A44">
        <w:rPr>
          <w:rFonts w:asciiTheme="minorHAnsi" w:hAnsiTheme="minorHAnsi" w:cstheme="minorHAnsi"/>
          <w:i/>
          <w:iCs/>
          <w:sz w:val="24"/>
          <w:szCs w:val="24"/>
        </w:rPr>
        <w:t>S.B. by &amp; through M.B. v. Lee</w:t>
      </w:r>
      <w:r w:rsidRPr="00B80A44">
        <w:rPr>
          <w:rFonts w:asciiTheme="minorHAnsi" w:hAnsiTheme="minorHAnsi" w:cstheme="minorHAnsi"/>
          <w:sz w:val="24"/>
          <w:szCs w:val="24"/>
        </w:rPr>
        <w:t xml:space="preserve">, No. 321CV00317JRGDCP, ___ F. Supp. 3d ___, 2021 WL 4346232 (E.D. Tenn. Sept. 24, 2021); </w:t>
      </w:r>
      <w:r w:rsidRPr="00B80A44">
        <w:rPr>
          <w:rFonts w:asciiTheme="minorHAnsi" w:hAnsiTheme="minorHAnsi" w:cstheme="minorHAnsi"/>
          <w:i/>
          <w:sz w:val="24"/>
          <w:szCs w:val="24"/>
        </w:rPr>
        <w:t>R.K</w:t>
      </w:r>
      <w:r w:rsidR="00782EE6" w:rsidRPr="00B80A44">
        <w:rPr>
          <w:rFonts w:asciiTheme="minorHAnsi" w:hAnsiTheme="minorHAnsi" w:cstheme="minorHAnsi"/>
          <w:i/>
          <w:sz w:val="24"/>
          <w:szCs w:val="24"/>
        </w:rPr>
        <w:t xml:space="preserve">, </w:t>
      </w:r>
      <w:r w:rsidR="00782EE6" w:rsidRPr="00B80A44">
        <w:rPr>
          <w:rFonts w:asciiTheme="minorHAnsi" w:hAnsiTheme="minorHAnsi" w:cstheme="minorHAnsi"/>
          <w:iCs/>
          <w:sz w:val="24"/>
          <w:szCs w:val="24"/>
        </w:rPr>
        <w:t>2021 WL 4391640.</w:t>
      </w:r>
      <w:r w:rsidR="00782EE6" w:rsidRPr="00B80A44">
        <w:rPr>
          <w:rFonts w:asciiTheme="minorHAnsi" w:hAnsiTheme="minorHAnsi" w:cstheme="minorHAnsi"/>
          <w:i/>
          <w:sz w:val="24"/>
          <w:szCs w:val="24"/>
        </w:rPr>
        <w:t>.</w:t>
      </w:r>
    </w:p>
  </w:footnote>
  <w:footnote w:id="84">
    <w:p w14:paraId="400306FB"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Courts often use “accommodation” and “modification” interchangeably in non-employment cases.  </w:t>
      </w:r>
    </w:p>
  </w:footnote>
  <w:footnote w:id="85">
    <w:p w14:paraId="4F2FA240"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Alexander v. Choate</w:t>
      </w:r>
      <w:r w:rsidRPr="00B80A44">
        <w:rPr>
          <w:rFonts w:asciiTheme="minorHAnsi" w:hAnsiTheme="minorHAnsi" w:cstheme="minorHAnsi"/>
          <w:sz w:val="24"/>
          <w:szCs w:val="24"/>
        </w:rPr>
        <w:t xml:space="preserve">, 469 U.S. 287, 301 (1985).  </w:t>
      </w:r>
    </w:p>
  </w:footnote>
  <w:footnote w:id="86">
    <w:p w14:paraId="71704DA2"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28 C.F.R. § 35.130(b)(7).  </w:t>
      </w:r>
    </w:p>
  </w:footnote>
  <w:footnote w:id="87">
    <w:p w14:paraId="7C5F3EA0"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Staron v. McDonald’s Corp</w:t>
      </w:r>
      <w:r w:rsidRPr="00B80A44">
        <w:rPr>
          <w:rFonts w:asciiTheme="minorHAnsi" w:hAnsiTheme="minorHAnsi" w:cstheme="minorHAnsi"/>
          <w:sz w:val="24"/>
          <w:szCs w:val="24"/>
        </w:rPr>
        <w:t xml:space="preserve">., 51 F.3d 353, 356 (2nd Cir. 1995) (“[T]he determination of whether a particular modification is ‘reasonable’ involves a fact-specific, case-by-case inquiry that considers, among other factors, the effectiveness of the modification in light of the nature of the disability in question and the cost to the organization that would implement it.”). </w:t>
      </w:r>
      <w:r w:rsidRPr="00B80A44">
        <w:rPr>
          <w:rFonts w:asciiTheme="minorHAnsi" w:hAnsiTheme="minorHAnsi" w:cstheme="minorHAnsi"/>
          <w:i/>
          <w:sz w:val="24"/>
          <w:szCs w:val="24"/>
        </w:rPr>
        <w:t>See also PGA Tour, Inc. v. Martin</w:t>
      </w:r>
      <w:r w:rsidRPr="00B80A44">
        <w:rPr>
          <w:rFonts w:asciiTheme="minorHAnsi" w:hAnsiTheme="minorHAnsi" w:cstheme="minorHAnsi"/>
          <w:sz w:val="24"/>
          <w:szCs w:val="24"/>
        </w:rPr>
        <w:t>, 532 U.S. 661, 688 (2001) (ADA Title III) (“To comply with this command, an individualized inquiry must be made to determine whether a specific modification for a particular person's disability would be reasonable under the circumstances as well as necessary for that person, and yet at the same time not work a fundamental alteration.”)</w:t>
      </w:r>
    </w:p>
  </w:footnote>
  <w:footnote w:id="88">
    <w:p w14:paraId="6CF28D36" w14:textId="114AB53B"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BF3AAC" w:rsidRPr="00B80A44">
        <w:rPr>
          <w:rFonts w:asciiTheme="minorHAnsi" w:hAnsiTheme="minorHAnsi" w:cstheme="minorHAnsi"/>
          <w:sz w:val="24"/>
          <w:szCs w:val="24"/>
        </w:rPr>
        <w:t>18,</w:t>
      </w:r>
      <w:r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Pr="00B80A44">
        <w:rPr>
          <w:rFonts w:asciiTheme="minorHAnsi" w:hAnsiTheme="minorHAnsi" w:cstheme="minorHAnsi"/>
          <w:sz w:val="24"/>
          <w:szCs w:val="24"/>
        </w:rPr>
        <w:t xml:space="preserve"> 22.  </w:t>
      </w:r>
      <w:r w:rsidRPr="00B80A44">
        <w:rPr>
          <w:rFonts w:asciiTheme="minorHAnsi" w:hAnsiTheme="minorHAnsi" w:cstheme="minorHAnsi"/>
          <w:i/>
          <w:iCs/>
          <w:sz w:val="24"/>
          <w:szCs w:val="24"/>
        </w:rPr>
        <w:t>See also</w:t>
      </w:r>
      <w:r w:rsidRPr="00B80A44">
        <w:rPr>
          <w:rFonts w:asciiTheme="minorHAnsi" w:hAnsiTheme="minorHAnsi" w:cstheme="minorHAnsi"/>
          <w:sz w:val="24"/>
          <w:szCs w:val="24"/>
        </w:rPr>
        <w:t xml:space="preserve"> Ex. </w:t>
      </w:r>
      <w:r w:rsidR="00BF3AAC" w:rsidRPr="00B80A44">
        <w:rPr>
          <w:rFonts w:asciiTheme="minorHAnsi" w:hAnsiTheme="minorHAnsi" w:cstheme="minorHAnsi"/>
          <w:sz w:val="24"/>
          <w:szCs w:val="24"/>
        </w:rPr>
        <w:t>17,</w:t>
      </w:r>
      <w:r w:rsidRPr="00B80A44">
        <w:rPr>
          <w:rFonts w:asciiTheme="minorHAnsi" w:hAnsiTheme="minorHAnsi" w:cstheme="minorHAnsi"/>
          <w:sz w:val="24"/>
          <w:szCs w:val="24"/>
        </w:rPr>
        <w:t xml:space="preserve"> </w:t>
      </w:r>
      <w:r w:rsidR="00F453A5" w:rsidRPr="00B80A44">
        <w:rPr>
          <w:rFonts w:asciiTheme="minorHAnsi" w:hAnsiTheme="minorHAnsi" w:cstheme="minorHAnsi"/>
          <w:sz w:val="24"/>
          <w:szCs w:val="24"/>
        </w:rPr>
        <w:t>¶</w:t>
      </w:r>
      <w:r w:rsidRPr="00B80A44">
        <w:rPr>
          <w:rFonts w:asciiTheme="minorHAnsi" w:hAnsiTheme="minorHAnsi" w:cstheme="minorHAnsi"/>
          <w:sz w:val="24"/>
          <w:szCs w:val="24"/>
        </w:rPr>
        <w:t xml:space="preserve"> 16 (“There is near consensus on the safety and effectiveness of masks for individuals over the age of two”).</w:t>
      </w:r>
    </w:p>
  </w:footnote>
  <w:footnote w:id="89">
    <w:p w14:paraId="30205205"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2021 WL 4346232 at *15 (emphasis in original).</w:t>
      </w:r>
    </w:p>
  </w:footnote>
  <w:footnote w:id="90">
    <w:p w14:paraId="62F757F7" w14:textId="77777777" w:rsidR="004130C6" w:rsidRPr="00B80A44" w:rsidRDefault="004130C6" w:rsidP="00545E56">
      <w:pPr>
        <w:pStyle w:val="NoSpacing"/>
        <w:rPr>
          <w:rFonts w:asciiTheme="minorHAnsi" w:hAnsiTheme="minorHAnsi" w:cstheme="minorHAnsi"/>
        </w:rPr>
      </w:pPr>
      <w:r w:rsidRPr="00B80A44">
        <w:rPr>
          <w:rStyle w:val="FootnoteReference"/>
          <w:rFonts w:asciiTheme="minorHAnsi" w:hAnsiTheme="minorHAnsi" w:cstheme="minorHAnsi"/>
        </w:rPr>
        <w:footnoteRef/>
      </w:r>
      <w:r w:rsidRPr="00B80A44">
        <w:rPr>
          <w:rFonts w:asciiTheme="minorHAnsi" w:hAnsiTheme="minorHAnsi" w:cstheme="minorHAnsi"/>
        </w:rPr>
        <w:t xml:space="preserve"> </w:t>
      </w:r>
      <w:r w:rsidRPr="00B80A44">
        <w:rPr>
          <w:rFonts w:asciiTheme="minorHAnsi" w:eastAsia="Calibri" w:hAnsiTheme="minorHAnsi" w:cstheme="minorHAnsi"/>
          <w:i/>
          <w:iCs/>
          <w:color w:val="auto"/>
        </w:rPr>
        <w:t>See, e.g., Staron v. McDonald’s Corp</w:t>
      </w:r>
      <w:r w:rsidRPr="00B80A44">
        <w:rPr>
          <w:rFonts w:asciiTheme="minorHAnsi" w:eastAsia="Calibri" w:hAnsiTheme="minorHAnsi" w:cstheme="minorHAnsi"/>
          <w:color w:val="auto"/>
        </w:rPr>
        <w:t xml:space="preserve">., 51 F.3d 353, 357 (2d Cir. 1995) (“We see no reason why, under the appropriate circumstances, a ban on smoking could not be a reasonable modification.”); </w:t>
      </w:r>
      <w:r w:rsidRPr="00B80A44">
        <w:rPr>
          <w:rFonts w:asciiTheme="minorHAnsi" w:eastAsia="Calibri" w:hAnsiTheme="minorHAnsi" w:cstheme="minorHAnsi"/>
          <w:i/>
          <w:iCs/>
          <w:color w:val="auto"/>
        </w:rPr>
        <w:t>Simmons v. Monroe Cty., Mississippi</w:t>
      </w:r>
      <w:r w:rsidRPr="00B80A44">
        <w:rPr>
          <w:rFonts w:asciiTheme="minorHAnsi" w:eastAsia="Calibri" w:hAnsiTheme="minorHAnsi" w:cstheme="minorHAnsi"/>
          <w:color w:val="auto"/>
        </w:rPr>
        <w:t xml:space="preserve">, 415 F. Supp. 3d 723, 730 (N.D. Miss. 2019) (“With respect to the issue of reasonable accommodation, this court regards plaintiff's evidence that the Monroe County jail had a no-smoking policy as being an indication that, in allegedly asking defendant to simply enforce a pre-existing policy, he was seeking a very ‘reasonable’ accommodation indeed.”); </w:t>
      </w:r>
      <w:r w:rsidRPr="00B80A44">
        <w:rPr>
          <w:rFonts w:asciiTheme="minorHAnsi" w:eastAsia="Calibri" w:hAnsiTheme="minorHAnsi" w:cstheme="minorHAnsi"/>
          <w:i/>
          <w:iCs/>
          <w:color w:val="auto"/>
        </w:rPr>
        <w:t>Thursby v. City of Scranton</w:t>
      </w:r>
      <w:r w:rsidRPr="00B80A44">
        <w:rPr>
          <w:rFonts w:asciiTheme="minorHAnsi" w:eastAsia="Calibri" w:hAnsiTheme="minorHAnsi" w:cstheme="minorHAnsi"/>
          <w:color w:val="auto"/>
        </w:rPr>
        <w:t xml:space="preserve">, No. 3:CV-02-2355, 2006 WL 1455736, at *6 (M.D. Pa. May 25, 2006) (“Ms. Thursby has presented sufficient evidence for a jury to find that the City failed to reasonably accommodate her disability … [through] implementation of a non-smoking policy ….”); </w:t>
      </w:r>
      <w:r w:rsidRPr="00B80A44">
        <w:rPr>
          <w:rFonts w:asciiTheme="minorHAnsi" w:eastAsia="Calibri" w:hAnsiTheme="minorHAnsi" w:cstheme="minorHAnsi"/>
          <w:i/>
          <w:iCs/>
          <w:color w:val="auto"/>
        </w:rPr>
        <w:t>Bond v. Sheahan</w:t>
      </w:r>
      <w:r w:rsidRPr="00B80A44">
        <w:rPr>
          <w:rFonts w:asciiTheme="minorHAnsi" w:eastAsia="Calibri" w:hAnsiTheme="minorHAnsi" w:cstheme="minorHAnsi"/>
          <w:color w:val="auto"/>
        </w:rPr>
        <w:t xml:space="preserve">, 152 F. Supp. 2d 1055, 1062–63, 1071–75 (N.D. Ill. 2001) (denying summary judgment on issue of whether defendant reasonably accommodated plaintiff’s asthma by failing to transfer her and by failing to enforce a non-smoking policy). </w:t>
      </w:r>
      <w:r w:rsidRPr="00B80A44">
        <w:rPr>
          <w:rFonts w:asciiTheme="minorHAnsi" w:eastAsia="Calibri" w:hAnsiTheme="minorHAnsi" w:cstheme="minorHAnsi"/>
          <w:i/>
          <w:iCs/>
          <w:color w:val="auto"/>
        </w:rPr>
        <w:t>See also Muller v. Costello</w:t>
      </w:r>
      <w:r w:rsidRPr="00B80A44">
        <w:rPr>
          <w:rFonts w:asciiTheme="minorHAnsi" w:eastAsia="Calibri" w:hAnsiTheme="minorHAnsi" w:cstheme="minorHAnsi"/>
          <w:color w:val="auto"/>
        </w:rPr>
        <w:t xml:space="preserve">, No. 94-CV-842 (FJS), 1996 WL 191977, at *5 n.14 (N.D.N.Y. Apr. 16, 1996) (“Although </w:t>
      </w:r>
      <w:r w:rsidRPr="00B80A44">
        <w:rPr>
          <w:rFonts w:asciiTheme="minorHAnsi" w:eastAsia="Calibri" w:hAnsiTheme="minorHAnsi" w:cstheme="minorHAnsi"/>
          <w:i/>
          <w:iCs/>
          <w:color w:val="auto"/>
        </w:rPr>
        <w:t>Staron</w:t>
      </w:r>
      <w:r w:rsidRPr="00B80A44">
        <w:rPr>
          <w:rFonts w:asciiTheme="minorHAnsi" w:eastAsia="Calibri" w:hAnsiTheme="minorHAnsi" w:cstheme="minorHAnsi"/>
          <w:color w:val="auto"/>
        </w:rPr>
        <w:t xml:space="preserve"> involved the public accommodation provisions of the ADA, the Second Circuit’s reasoning is instructive. The [</w:t>
      </w:r>
      <w:r w:rsidRPr="00B80A44">
        <w:rPr>
          <w:rFonts w:asciiTheme="minorHAnsi" w:eastAsia="Calibri" w:hAnsiTheme="minorHAnsi" w:cstheme="minorHAnsi"/>
          <w:i/>
          <w:iCs/>
          <w:color w:val="auto"/>
        </w:rPr>
        <w:t>Staron</w:t>
      </w:r>
      <w:r w:rsidRPr="00B80A44">
        <w:rPr>
          <w:rFonts w:asciiTheme="minorHAnsi" w:eastAsia="Calibri" w:hAnsiTheme="minorHAnsi" w:cstheme="minorHAnsi"/>
          <w:color w:val="auto"/>
        </w:rPr>
        <w:t>] court stated that ‘[i]t is plain to us that Congress did not intend to isolate the effects of smoking from the protections of the ADA.’”) (citations omitted).</w:t>
      </w:r>
    </w:p>
  </w:footnote>
  <w:footnote w:id="91">
    <w:p w14:paraId="45F689E1" w14:textId="7ACA7522"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D</w:t>
      </w:r>
      <w:r w:rsidR="00BF3AAC" w:rsidRPr="00B80A44">
        <w:rPr>
          <w:rFonts w:asciiTheme="minorHAnsi" w:hAnsiTheme="minorHAnsi" w:cstheme="minorHAnsi"/>
          <w:sz w:val="24"/>
          <w:szCs w:val="24"/>
        </w:rPr>
        <w:t xml:space="preserve">kt. </w:t>
      </w:r>
      <w:r w:rsidRPr="00B80A44">
        <w:rPr>
          <w:rFonts w:asciiTheme="minorHAnsi" w:hAnsiTheme="minorHAnsi" w:cstheme="minorHAnsi"/>
          <w:sz w:val="24"/>
          <w:szCs w:val="24"/>
        </w:rPr>
        <w:t xml:space="preserve">35 at 25, 10.  </w:t>
      </w:r>
    </w:p>
  </w:footnote>
  <w:footnote w:id="92">
    <w:p w14:paraId="1E144CD7" w14:textId="52EC551D"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D</w:t>
      </w:r>
      <w:r w:rsidR="00BF3AAC" w:rsidRPr="00B80A44">
        <w:rPr>
          <w:rFonts w:asciiTheme="minorHAnsi" w:hAnsiTheme="minorHAnsi" w:cstheme="minorHAnsi"/>
          <w:sz w:val="24"/>
          <w:szCs w:val="24"/>
        </w:rPr>
        <w:t xml:space="preserve">kt. </w:t>
      </w:r>
      <w:r w:rsidRPr="00B80A44">
        <w:rPr>
          <w:rFonts w:asciiTheme="minorHAnsi" w:hAnsiTheme="minorHAnsi" w:cstheme="minorHAnsi"/>
          <w:sz w:val="24"/>
          <w:szCs w:val="24"/>
        </w:rPr>
        <w:t>7 at 5</w:t>
      </w:r>
      <w:r w:rsidR="00BF3AAC" w:rsidRPr="00B80A44">
        <w:rPr>
          <w:rFonts w:asciiTheme="minorHAnsi" w:hAnsiTheme="minorHAnsi" w:cstheme="minorHAnsi"/>
          <w:sz w:val="24"/>
          <w:szCs w:val="24"/>
        </w:rPr>
        <w:t>;</w:t>
      </w:r>
      <w:r w:rsidRPr="00B80A44">
        <w:rPr>
          <w:rFonts w:asciiTheme="minorHAnsi" w:hAnsiTheme="minorHAnsi" w:cstheme="minorHAnsi"/>
          <w:sz w:val="24"/>
          <w:szCs w:val="24"/>
        </w:rPr>
        <w:t xml:space="preserve"> Ex. </w:t>
      </w:r>
      <w:r w:rsidR="00BF3AAC" w:rsidRPr="00B80A44">
        <w:rPr>
          <w:rFonts w:asciiTheme="minorHAnsi" w:hAnsiTheme="minorHAnsi" w:cstheme="minorHAnsi"/>
          <w:sz w:val="24"/>
          <w:szCs w:val="24"/>
        </w:rPr>
        <w:t>18, ¶¶13-15; Ex. 15, Section III, ¶¶ 1-9</w:t>
      </w:r>
      <w:r w:rsidRPr="00B80A44">
        <w:rPr>
          <w:rFonts w:asciiTheme="minorHAnsi" w:hAnsiTheme="minorHAnsi" w:cstheme="minorHAnsi"/>
          <w:sz w:val="24"/>
          <w:szCs w:val="24"/>
        </w:rPr>
        <w:t>.</w:t>
      </w:r>
    </w:p>
  </w:footnote>
  <w:footnote w:id="93">
    <w:p w14:paraId="0BD48E41" w14:textId="3040C229"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453FDD" w:rsidRPr="00B80A44">
        <w:rPr>
          <w:rFonts w:asciiTheme="minorHAnsi" w:hAnsiTheme="minorHAnsi" w:cstheme="minorHAnsi"/>
          <w:sz w:val="24"/>
          <w:szCs w:val="24"/>
          <w:lang w:val="es-ES"/>
        </w:rPr>
        <w:t xml:space="preserve">Ex. </w:t>
      </w:r>
      <w:r w:rsidR="00BF3AAC" w:rsidRPr="00B80A44">
        <w:rPr>
          <w:rFonts w:asciiTheme="minorHAnsi" w:hAnsiTheme="minorHAnsi" w:cstheme="minorHAnsi"/>
          <w:sz w:val="24"/>
          <w:szCs w:val="24"/>
          <w:lang w:val="es-ES"/>
        </w:rPr>
        <w:t>14.</w:t>
      </w:r>
      <w:r w:rsidRPr="00B80A44">
        <w:rPr>
          <w:rFonts w:asciiTheme="minorHAnsi" w:hAnsiTheme="minorHAnsi" w:cstheme="minorHAnsi"/>
          <w:sz w:val="24"/>
          <w:szCs w:val="24"/>
          <w:lang w:val="es-ES"/>
        </w:rPr>
        <w:t xml:space="preserve"> </w:t>
      </w:r>
    </w:p>
  </w:footnote>
  <w:footnote w:id="94">
    <w:p w14:paraId="7462054A" w14:textId="47849485"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BF3AAC" w:rsidRPr="00B80A44">
        <w:rPr>
          <w:rFonts w:asciiTheme="minorHAnsi" w:hAnsiTheme="minorHAnsi" w:cstheme="minorHAnsi"/>
          <w:i/>
          <w:iCs/>
          <w:sz w:val="24"/>
          <w:szCs w:val="24"/>
          <w:lang w:val="es-ES"/>
        </w:rPr>
        <w:t>Id</w:t>
      </w:r>
      <w:r w:rsidR="00453FDD" w:rsidRPr="00B80A44">
        <w:rPr>
          <w:rFonts w:asciiTheme="minorHAnsi" w:hAnsiTheme="minorHAnsi" w:cstheme="minorHAnsi"/>
          <w:sz w:val="24"/>
          <w:szCs w:val="24"/>
          <w:lang w:val="es-ES"/>
        </w:rPr>
        <w:t>.</w:t>
      </w:r>
    </w:p>
  </w:footnote>
  <w:footnote w:id="95">
    <w:p w14:paraId="6F71D221" w14:textId="5B8691CE"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BF3AAC" w:rsidRPr="00B80A44">
        <w:rPr>
          <w:rFonts w:asciiTheme="minorHAnsi" w:hAnsiTheme="minorHAnsi" w:cstheme="minorHAnsi"/>
          <w:sz w:val="24"/>
          <w:szCs w:val="24"/>
          <w:lang w:val="es-ES"/>
        </w:rPr>
        <w:t>Ex. 14.</w:t>
      </w:r>
      <w:r w:rsidRPr="00B80A44">
        <w:rPr>
          <w:rFonts w:asciiTheme="minorHAnsi" w:hAnsiTheme="minorHAnsi" w:cstheme="minorHAnsi"/>
          <w:sz w:val="24"/>
          <w:szCs w:val="24"/>
          <w:lang w:val="es-ES"/>
        </w:rPr>
        <w:t xml:space="preserve">  </w:t>
      </w:r>
    </w:p>
  </w:footnote>
  <w:footnote w:id="96">
    <w:p w14:paraId="7C972BB4" w14:textId="7F8DCA22"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BF3AAC" w:rsidRPr="00B80A44">
        <w:rPr>
          <w:rFonts w:asciiTheme="minorHAnsi" w:hAnsiTheme="minorHAnsi" w:cstheme="minorHAnsi"/>
          <w:i/>
          <w:iCs/>
          <w:sz w:val="24"/>
          <w:szCs w:val="24"/>
          <w:lang w:val="es-ES"/>
        </w:rPr>
        <w:t>Id</w:t>
      </w:r>
      <w:r w:rsidR="00BF3AAC" w:rsidRPr="00B80A44">
        <w:rPr>
          <w:rFonts w:asciiTheme="minorHAnsi" w:hAnsiTheme="minorHAnsi" w:cstheme="minorHAnsi"/>
          <w:sz w:val="24"/>
          <w:szCs w:val="24"/>
          <w:lang w:val="es-ES"/>
        </w:rPr>
        <w:t>.</w:t>
      </w:r>
      <w:r w:rsidRPr="00B80A44">
        <w:rPr>
          <w:rFonts w:asciiTheme="minorHAnsi" w:hAnsiTheme="minorHAnsi" w:cstheme="minorHAnsi"/>
          <w:sz w:val="24"/>
          <w:szCs w:val="24"/>
          <w:lang w:val="es-ES"/>
        </w:rPr>
        <w:t xml:space="preserve">  </w:t>
      </w:r>
    </w:p>
  </w:footnote>
  <w:footnote w:id="97">
    <w:p w14:paraId="4E749200" w14:textId="73E5EA8C" w:rsidR="004130C6" w:rsidRPr="00B80A44" w:rsidRDefault="004130C6" w:rsidP="00545E56">
      <w:pPr>
        <w:pStyle w:val="FootnoteText"/>
        <w:rPr>
          <w:rFonts w:asciiTheme="minorHAnsi" w:hAnsiTheme="minorHAnsi" w:cstheme="minorHAnsi"/>
          <w:sz w:val="24"/>
          <w:szCs w:val="24"/>
          <w:lang w:val="es-ES"/>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lang w:val="es-ES"/>
        </w:rPr>
        <w:t xml:space="preserve"> </w:t>
      </w:r>
      <w:r w:rsidR="00BF3AAC" w:rsidRPr="00B80A44">
        <w:rPr>
          <w:rFonts w:asciiTheme="minorHAnsi" w:hAnsiTheme="minorHAnsi" w:cstheme="minorHAnsi"/>
          <w:i/>
          <w:iCs/>
          <w:sz w:val="24"/>
          <w:szCs w:val="24"/>
          <w:lang w:val="es-ES"/>
        </w:rPr>
        <w:t>Id</w:t>
      </w:r>
      <w:r w:rsidR="00BF3AAC" w:rsidRPr="00B80A44">
        <w:rPr>
          <w:rFonts w:asciiTheme="minorHAnsi" w:hAnsiTheme="minorHAnsi" w:cstheme="minorHAnsi"/>
          <w:sz w:val="24"/>
          <w:szCs w:val="24"/>
          <w:lang w:val="es-ES"/>
        </w:rPr>
        <w:t>.</w:t>
      </w:r>
      <w:r w:rsidRPr="00B80A44">
        <w:rPr>
          <w:rFonts w:asciiTheme="minorHAnsi" w:hAnsiTheme="minorHAnsi" w:cstheme="minorHAnsi"/>
          <w:sz w:val="24"/>
          <w:szCs w:val="24"/>
          <w:lang w:val="es-ES"/>
        </w:rPr>
        <w:t xml:space="preserve">  </w:t>
      </w:r>
    </w:p>
  </w:footnote>
  <w:footnote w:id="98">
    <w:p w14:paraId="6911DC58" w14:textId="18BB7315"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BF3AAC" w:rsidRPr="00B80A44">
        <w:rPr>
          <w:rFonts w:asciiTheme="minorHAnsi" w:hAnsiTheme="minorHAnsi" w:cstheme="minorHAnsi"/>
          <w:i/>
          <w:iCs/>
          <w:sz w:val="24"/>
          <w:szCs w:val="24"/>
        </w:rPr>
        <w:t>Id</w:t>
      </w:r>
      <w:r w:rsidR="00BF3AAC"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p>
  </w:footnote>
  <w:footnote w:id="99">
    <w:p w14:paraId="6D3F0DB5" w14:textId="6FDD038E"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BF3AAC" w:rsidRPr="00B80A44">
        <w:rPr>
          <w:rFonts w:asciiTheme="minorHAnsi" w:hAnsiTheme="minorHAnsi" w:cstheme="minorHAnsi"/>
          <w:i/>
          <w:iCs/>
          <w:sz w:val="24"/>
          <w:szCs w:val="24"/>
        </w:rPr>
        <w:t>Id</w:t>
      </w:r>
      <w:r w:rsidR="00BF3AAC"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p>
  </w:footnote>
  <w:footnote w:id="100">
    <w:p w14:paraId="26FDCE9E"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G.S.</w:t>
      </w:r>
      <w:r w:rsidRPr="00B80A44">
        <w:rPr>
          <w:rFonts w:asciiTheme="minorHAnsi" w:hAnsiTheme="minorHAnsi" w:cstheme="minorHAnsi"/>
          <w:sz w:val="24"/>
          <w:szCs w:val="24"/>
        </w:rPr>
        <w:t xml:space="preserve">, 2021 WL 4268285 at *4.  </w:t>
      </w:r>
    </w:p>
  </w:footnote>
  <w:footnote w:id="101">
    <w:p w14:paraId="71EC5298"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Arc of Iowa</w:t>
      </w:r>
      <w:r w:rsidRPr="00B80A44">
        <w:rPr>
          <w:rFonts w:asciiTheme="minorHAnsi" w:hAnsiTheme="minorHAnsi" w:cstheme="minorHAnsi"/>
          <w:sz w:val="24"/>
          <w:szCs w:val="24"/>
        </w:rPr>
        <w:t xml:space="preserve"> at *10–12.  </w:t>
      </w:r>
    </w:p>
  </w:footnote>
  <w:footnote w:id="102">
    <w:p w14:paraId="12299133"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Id</w:t>
      </w:r>
      <w:r w:rsidRPr="00B80A44">
        <w:rPr>
          <w:rFonts w:asciiTheme="minorHAnsi" w:hAnsiTheme="minorHAnsi" w:cstheme="minorHAnsi"/>
          <w:sz w:val="24"/>
          <w:szCs w:val="24"/>
        </w:rPr>
        <w:t>. at *12.</w:t>
      </w:r>
    </w:p>
  </w:footnote>
  <w:footnote w:id="103">
    <w:p w14:paraId="5FB40E4B" w14:textId="77777777" w:rsidR="004130C6" w:rsidRPr="00B80A44" w:rsidRDefault="004130C6" w:rsidP="00545E56">
      <w:pPr>
        <w:pStyle w:val="Heading3"/>
        <w:shd w:val="clear" w:color="auto" w:fill="FFFFFF"/>
        <w:spacing w:after="0"/>
        <w:rPr>
          <w:rFonts w:asciiTheme="minorHAnsi" w:hAnsiTheme="minorHAnsi" w:cstheme="minorHAnsi"/>
        </w:rPr>
      </w:pPr>
      <w:r w:rsidRPr="00B80A44">
        <w:rPr>
          <w:rStyle w:val="FootnoteReference"/>
          <w:rFonts w:asciiTheme="minorHAnsi" w:hAnsiTheme="minorHAnsi" w:cstheme="minorHAnsi"/>
        </w:rPr>
        <w:footnoteRef/>
      </w:r>
      <w:r w:rsidRPr="00B80A44">
        <w:rPr>
          <w:rFonts w:asciiTheme="minorHAnsi" w:hAnsiTheme="minorHAnsi" w:cstheme="minorHAnsi"/>
        </w:rPr>
        <w:t xml:space="preserve"> </w:t>
      </w:r>
      <w:r w:rsidRPr="00B80A44">
        <w:rPr>
          <w:rFonts w:asciiTheme="minorHAnsi" w:hAnsiTheme="minorHAnsi" w:cstheme="minorHAnsi"/>
          <w:i/>
        </w:rPr>
        <w:t>R.K.</w:t>
      </w:r>
      <w:r w:rsidRPr="00B80A44">
        <w:rPr>
          <w:rFonts w:asciiTheme="minorHAnsi" w:hAnsiTheme="minorHAnsi" w:cstheme="minorHAnsi"/>
        </w:rPr>
        <w:t xml:space="preserve"> ___ WL ___ at *__.  </w:t>
      </w:r>
    </w:p>
  </w:footnote>
  <w:footnote w:id="104">
    <w:p w14:paraId="19953900"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sz w:val="24"/>
          <w:szCs w:val="24"/>
        </w:rPr>
        <w:t>Id</w:t>
      </w:r>
      <w:r w:rsidRPr="00B80A44">
        <w:rPr>
          <w:rFonts w:asciiTheme="minorHAnsi" w:hAnsiTheme="minorHAnsi" w:cstheme="minorHAnsi"/>
          <w:sz w:val="24"/>
          <w:szCs w:val="24"/>
        </w:rPr>
        <w:t>.</w:t>
      </w:r>
    </w:p>
  </w:footnote>
  <w:footnote w:id="105">
    <w:p w14:paraId="73982E0A" w14:textId="2D536882"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00DB1B86" w:rsidRPr="00B80A44">
        <w:rPr>
          <w:rFonts w:asciiTheme="minorHAnsi" w:hAnsiTheme="minorHAnsi" w:cstheme="minorHAnsi"/>
          <w:i/>
          <w:iCs/>
          <w:sz w:val="24"/>
          <w:szCs w:val="24"/>
        </w:rPr>
        <w:t xml:space="preserve">See </w:t>
      </w:r>
      <w:r w:rsidR="00DB1B86" w:rsidRPr="00B80A44">
        <w:rPr>
          <w:rFonts w:asciiTheme="minorHAnsi" w:hAnsiTheme="minorHAnsi" w:cstheme="minorHAnsi"/>
          <w:sz w:val="24"/>
          <w:szCs w:val="24"/>
        </w:rPr>
        <w:t>Ex. 167 (</w:t>
      </w:r>
      <w:r w:rsidRPr="00B80A44">
        <w:rPr>
          <w:rFonts w:asciiTheme="minorHAnsi" w:hAnsiTheme="minorHAnsi" w:cstheme="minorHAnsi"/>
          <w:sz w:val="24"/>
          <w:szCs w:val="24"/>
        </w:rPr>
        <w:t xml:space="preserve">American Rescue Plan Act Elementary and Secondary School Emergency Relief Fund, 86 Fed. Reg. 21195, 21196 (Apr. 22, 2021); </w:t>
      </w:r>
      <w:r w:rsidRPr="00B80A44">
        <w:rPr>
          <w:rFonts w:asciiTheme="minorHAnsi" w:hAnsiTheme="minorHAnsi" w:cstheme="minorHAnsi"/>
          <w:i/>
          <w:iCs/>
          <w:sz w:val="24"/>
          <w:szCs w:val="24"/>
        </w:rPr>
        <w:t>see</w:t>
      </w:r>
      <w:r w:rsidRPr="00B80A44">
        <w:rPr>
          <w:rFonts w:asciiTheme="minorHAnsi" w:hAnsiTheme="minorHAnsi" w:cstheme="minorHAnsi"/>
          <w:sz w:val="24"/>
          <w:szCs w:val="24"/>
        </w:rPr>
        <w:t xml:space="preserve"> Pub. L. No. 117-2, § 2001</w:t>
      </w:r>
      <w:r w:rsidR="00DB1B86" w:rsidRPr="00B80A44">
        <w:rPr>
          <w:rFonts w:asciiTheme="minorHAnsi" w:hAnsiTheme="minorHAnsi" w:cstheme="minorHAnsi"/>
          <w:sz w:val="24"/>
          <w:szCs w:val="24"/>
        </w:rPr>
        <w:t>)</w:t>
      </w:r>
      <w:r w:rsidRPr="00B80A44">
        <w:rPr>
          <w:rFonts w:asciiTheme="minorHAnsi" w:hAnsiTheme="minorHAnsi" w:cstheme="minorHAnsi"/>
          <w:sz w:val="24"/>
          <w:szCs w:val="24"/>
        </w:rPr>
        <w:t xml:space="preserve">.  </w:t>
      </w:r>
    </w:p>
  </w:footnote>
  <w:footnote w:id="106">
    <w:p w14:paraId="302B2162" w14:textId="600088FB"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See</w:t>
      </w:r>
      <w:r w:rsidRPr="00B80A44">
        <w:rPr>
          <w:rFonts w:asciiTheme="minorHAnsi" w:hAnsiTheme="minorHAnsi" w:cstheme="minorHAnsi"/>
          <w:sz w:val="24"/>
          <w:szCs w:val="24"/>
        </w:rPr>
        <w:t xml:space="preserve"> </w:t>
      </w:r>
      <w:r w:rsidR="00DB1B86" w:rsidRPr="00B80A44">
        <w:rPr>
          <w:rFonts w:asciiTheme="minorHAnsi" w:hAnsiTheme="minorHAnsi" w:cstheme="minorHAnsi"/>
          <w:sz w:val="24"/>
          <w:szCs w:val="24"/>
        </w:rPr>
        <w:t>Ex. 166 (</w:t>
      </w:r>
      <w:r w:rsidRPr="00B80A44">
        <w:rPr>
          <w:rFonts w:asciiTheme="minorHAnsi" w:hAnsiTheme="minorHAnsi" w:cstheme="minorHAnsi"/>
          <w:sz w:val="24"/>
          <w:szCs w:val="24"/>
        </w:rPr>
        <w:t>U.S. Dep’t of Education, American Rescue Plan Elementary and Secondary School</w:t>
      </w:r>
    </w:p>
    <w:p w14:paraId="01AC67E0" w14:textId="25C2075E" w:rsidR="004130C6" w:rsidRPr="00B80A44" w:rsidRDefault="004130C6" w:rsidP="00545E56">
      <w:pPr>
        <w:pStyle w:val="FootnoteText"/>
        <w:rPr>
          <w:rFonts w:asciiTheme="minorHAnsi" w:hAnsiTheme="minorHAnsi" w:cstheme="minorHAnsi"/>
          <w:sz w:val="24"/>
          <w:szCs w:val="24"/>
        </w:rPr>
      </w:pPr>
      <w:r w:rsidRPr="00B80A44">
        <w:rPr>
          <w:rFonts w:asciiTheme="minorHAnsi" w:hAnsiTheme="minorHAnsi" w:cstheme="minorHAnsi"/>
          <w:sz w:val="24"/>
          <w:szCs w:val="24"/>
        </w:rPr>
        <w:t xml:space="preserve">Emergency Relief Fund – Methodology for Calculating Allocations (Revised June 25, 2021) at 3, </w:t>
      </w:r>
      <w:r w:rsidRPr="00B80A44">
        <w:rPr>
          <w:rFonts w:asciiTheme="minorHAnsi" w:hAnsiTheme="minorHAnsi" w:cstheme="minorHAnsi"/>
          <w:i/>
          <w:iCs/>
          <w:sz w:val="24"/>
          <w:szCs w:val="24"/>
        </w:rPr>
        <w:t>available at</w:t>
      </w:r>
      <w:r w:rsidRPr="00B80A44">
        <w:rPr>
          <w:rFonts w:asciiTheme="minorHAnsi" w:hAnsiTheme="minorHAnsi" w:cstheme="minorHAnsi"/>
          <w:sz w:val="24"/>
          <w:szCs w:val="24"/>
        </w:rPr>
        <w:t xml:space="preserve"> </w:t>
      </w:r>
      <w:hyperlink r:id="rId2" w:history="1">
        <w:r w:rsidRPr="00B80A44">
          <w:rPr>
            <w:rStyle w:val="Hyperlink"/>
            <w:rFonts w:asciiTheme="minorHAnsi" w:hAnsiTheme="minorHAnsi" w:cstheme="minorHAnsi"/>
            <w:sz w:val="24"/>
            <w:szCs w:val="24"/>
          </w:rPr>
          <w:t>https://oese.ed.gov/files/2021/06/Revised-ARP-ESSER-Methodology-and-Allocation-Table_6.25.21_FINAL.pdf</w:t>
        </w:r>
      </w:hyperlink>
      <w:r w:rsidRPr="00B80A44">
        <w:rPr>
          <w:rFonts w:asciiTheme="minorHAnsi" w:hAnsiTheme="minorHAnsi" w:cstheme="minorHAnsi"/>
          <w:sz w:val="24"/>
          <w:szCs w:val="24"/>
        </w:rPr>
        <w:t>.</w:t>
      </w:r>
      <w:r w:rsidR="00DB1B86" w:rsidRPr="00B80A44">
        <w:rPr>
          <w:rFonts w:asciiTheme="minorHAnsi" w:hAnsiTheme="minorHAnsi" w:cstheme="minorHAnsi"/>
          <w:sz w:val="24"/>
          <w:szCs w:val="24"/>
        </w:rPr>
        <w:t>).</w:t>
      </w:r>
    </w:p>
  </w:footnote>
  <w:footnote w:id="107">
    <w:p w14:paraId="584E64CC" w14:textId="31596D7F" w:rsidR="00453FDD" w:rsidRPr="00B80A44" w:rsidRDefault="00453FDD">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Ex. </w:t>
      </w:r>
      <w:r w:rsidR="00DB1B86" w:rsidRPr="00B80A44">
        <w:rPr>
          <w:rFonts w:asciiTheme="minorHAnsi" w:hAnsiTheme="minorHAnsi" w:cstheme="minorHAnsi"/>
          <w:sz w:val="24"/>
          <w:szCs w:val="24"/>
        </w:rPr>
        <w:t>13</w:t>
      </w:r>
      <w:r w:rsidRPr="00B80A44">
        <w:rPr>
          <w:rFonts w:asciiTheme="minorHAnsi" w:hAnsiTheme="minorHAnsi" w:cstheme="minorHAnsi"/>
          <w:sz w:val="24"/>
          <w:szCs w:val="24"/>
        </w:rPr>
        <w:t xml:space="preserve"> at 1 (</w:t>
      </w:r>
      <w:r w:rsidRPr="00B80A44">
        <w:rPr>
          <w:rFonts w:asciiTheme="minorHAnsi" w:hAnsiTheme="minorHAnsi" w:cstheme="minorHAnsi"/>
          <w:color w:val="auto"/>
          <w:sz w:val="24"/>
          <w:szCs w:val="24"/>
        </w:rPr>
        <w:t>Centers for Disease Control and Prevention’s (“CDC”) Guidance for COVID-19 Prevention in K-12 Schools.</w:t>
      </w:r>
    </w:p>
  </w:footnote>
  <w:footnote w:id="108">
    <w:p w14:paraId="4E19A37D"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Cf. Armstrong</w:t>
      </w:r>
      <w:r w:rsidRPr="00B80A44">
        <w:rPr>
          <w:rFonts w:asciiTheme="minorHAnsi" w:hAnsiTheme="minorHAnsi" w:cstheme="minorHAnsi"/>
          <w:sz w:val="24"/>
          <w:szCs w:val="24"/>
        </w:rPr>
        <w:t>, 575 U.S. at 327 (“The power of federal courts of equity to enjoin unlawful executive action is subject to express and implied statutory limitations.”).</w:t>
      </w:r>
    </w:p>
  </w:footnote>
  <w:footnote w:id="109">
    <w:p w14:paraId="48A1C535" w14:textId="20DCAD4E"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Importantly, because Plaintiffs in this case are seeking only equitable relief and not damages, Plaintiffs can assert their preemption claim under the Court’s equitable power and do </w:t>
      </w:r>
      <w:r w:rsidRPr="00B80A44">
        <w:rPr>
          <w:rFonts w:asciiTheme="minorHAnsi" w:hAnsiTheme="minorHAnsi" w:cstheme="minorHAnsi"/>
          <w:b/>
          <w:bCs/>
          <w:i/>
          <w:iCs/>
          <w:sz w:val="24"/>
          <w:szCs w:val="24"/>
        </w:rPr>
        <w:t>not</w:t>
      </w:r>
      <w:r w:rsidRPr="00B80A44">
        <w:rPr>
          <w:rFonts w:asciiTheme="minorHAnsi" w:hAnsiTheme="minorHAnsi" w:cstheme="minorHAnsi"/>
          <w:sz w:val="24"/>
          <w:szCs w:val="24"/>
        </w:rPr>
        <w:t xml:space="preserve"> need to show that the </w:t>
      </w:r>
      <w:r w:rsidR="006C7A72" w:rsidRPr="00B80A44">
        <w:rPr>
          <w:rFonts w:asciiTheme="minorHAnsi" w:hAnsiTheme="minorHAnsi" w:cstheme="minorHAnsi"/>
          <w:sz w:val="24"/>
          <w:szCs w:val="24"/>
        </w:rPr>
        <w:t xml:space="preserve">Rescue </w:t>
      </w:r>
      <w:r w:rsidRPr="00B80A44">
        <w:rPr>
          <w:rFonts w:asciiTheme="minorHAnsi" w:hAnsiTheme="minorHAnsi" w:cstheme="minorHAnsi"/>
          <w:sz w:val="24"/>
          <w:szCs w:val="24"/>
        </w:rPr>
        <w:t xml:space="preserve">Act itself gives rise to a private right of action.  </w:t>
      </w:r>
      <w:r w:rsidRPr="00B80A44">
        <w:rPr>
          <w:rFonts w:asciiTheme="minorHAnsi" w:hAnsiTheme="minorHAnsi" w:cstheme="minorHAnsi"/>
          <w:i/>
          <w:iCs/>
          <w:sz w:val="24"/>
          <w:szCs w:val="24"/>
        </w:rPr>
        <w:t>See Alexander v. Sandoval</w:t>
      </w:r>
      <w:r w:rsidRPr="00B80A44">
        <w:rPr>
          <w:rFonts w:asciiTheme="minorHAnsi" w:hAnsiTheme="minorHAnsi" w:cstheme="minorHAnsi"/>
          <w:sz w:val="24"/>
          <w:szCs w:val="24"/>
        </w:rPr>
        <w:t xml:space="preserve">, 532 U.S. 275, 286 (2001) (explaining test for finding a private right of action); </w:t>
      </w:r>
      <w:r w:rsidRPr="00B80A44">
        <w:rPr>
          <w:rFonts w:asciiTheme="minorHAnsi" w:hAnsiTheme="minorHAnsi" w:cstheme="minorHAnsi"/>
          <w:i/>
          <w:iCs/>
          <w:sz w:val="24"/>
          <w:szCs w:val="24"/>
        </w:rPr>
        <w:t>Armstrong</w:t>
      </w:r>
      <w:r w:rsidRPr="00B80A44">
        <w:rPr>
          <w:rFonts w:asciiTheme="minorHAnsi" w:hAnsiTheme="minorHAnsi" w:cstheme="minorHAnsi"/>
          <w:sz w:val="24"/>
          <w:szCs w:val="24"/>
        </w:rPr>
        <w:t xml:space="preserve">, 575 U.S. at 331–32; </w:t>
      </w:r>
      <w:r w:rsidRPr="00B80A44">
        <w:rPr>
          <w:rFonts w:asciiTheme="minorHAnsi" w:hAnsiTheme="minorHAnsi" w:cstheme="minorHAnsi"/>
          <w:i/>
          <w:iCs/>
          <w:sz w:val="24"/>
          <w:szCs w:val="24"/>
        </w:rPr>
        <w:t>cf.</w:t>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Coastal Habitat Alliance v. Patterson</w:t>
      </w:r>
      <w:r w:rsidRPr="00B80A44">
        <w:rPr>
          <w:rFonts w:asciiTheme="minorHAnsi" w:hAnsiTheme="minorHAnsi" w:cstheme="minorHAnsi"/>
          <w:sz w:val="24"/>
          <w:szCs w:val="24"/>
        </w:rPr>
        <w:t xml:space="preserve">, 601 F. Supp. 2d 868, 880 (W.D. Tex. 2008) (Yeakel, J.) (“[W]hen a statute does not provide an explicit or clearly articulated right of action in a party, a court may only imply such a right when the statute creates a pervasive legislative scheme governing rights between the plaintiff and defendant classes.”).  These are two very different standards.  While Plaintiffs would not be able to assert a private right of action unless the statute expressly or impliedly shows that Congress intended to </w:t>
      </w:r>
      <w:r w:rsidRPr="00B80A44">
        <w:rPr>
          <w:rFonts w:asciiTheme="minorHAnsi" w:hAnsiTheme="minorHAnsi" w:cstheme="minorHAnsi"/>
          <w:i/>
          <w:iCs/>
          <w:sz w:val="24"/>
          <w:szCs w:val="24"/>
        </w:rPr>
        <w:t>create</w:t>
      </w:r>
      <w:r w:rsidRPr="00B80A44">
        <w:rPr>
          <w:rFonts w:asciiTheme="minorHAnsi" w:hAnsiTheme="minorHAnsi" w:cstheme="minorHAnsi"/>
          <w:sz w:val="24"/>
          <w:szCs w:val="24"/>
        </w:rPr>
        <w:t xml:space="preserve"> such a right </w:t>
      </w:r>
      <w:r w:rsidR="006C7A72" w:rsidRPr="00B80A44">
        <w:rPr>
          <w:rFonts w:asciiTheme="minorHAnsi" w:hAnsiTheme="minorHAnsi" w:cstheme="minorHAnsi"/>
          <w:sz w:val="24"/>
          <w:szCs w:val="24"/>
        </w:rPr>
        <w:t>(</w:t>
      </w:r>
      <w:r w:rsidRPr="00B80A44">
        <w:rPr>
          <w:rFonts w:asciiTheme="minorHAnsi" w:hAnsiTheme="minorHAnsi" w:cstheme="minorHAnsi"/>
          <w:i/>
          <w:iCs/>
          <w:sz w:val="24"/>
          <w:szCs w:val="24"/>
        </w:rPr>
        <w:t>see Sandoval</w:t>
      </w:r>
      <w:r w:rsidRPr="00B80A44">
        <w:rPr>
          <w:rFonts w:asciiTheme="minorHAnsi" w:hAnsiTheme="minorHAnsi" w:cstheme="minorHAnsi"/>
          <w:sz w:val="24"/>
          <w:szCs w:val="24"/>
        </w:rPr>
        <w:t>, 532 U.S. at 286</w:t>
      </w:r>
      <w:r w:rsidR="006C7A72" w:rsidRPr="00B80A44">
        <w:rPr>
          <w:rFonts w:asciiTheme="minorHAnsi" w:hAnsiTheme="minorHAnsi" w:cstheme="minorHAnsi"/>
          <w:sz w:val="24"/>
          <w:szCs w:val="24"/>
        </w:rPr>
        <w:t>)</w:t>
      </w:r>
      <w:r w:rsidRPr="00B80A44">
        <w:rPr>
          <w:rFonts w:asciiTheme="minorHAnsi" w:hAnsiTheme="minorHAnsi" w:cstheme="minorHAnsi"/>
          <w:sz w:val="24"/>
          <w:szCs w:val="24"/>
        </w:rPr>
        <w:t xml:space="preserve">, Plaintiffs can invoke the Court’s </w:t>
      </w:r>
      <w:r w:rsidRPr="00B80A44">
        <w:rPr>
          <w:rFonts w:asciiTheme="minorHAnsi" w:hAnsiTheme="minorHAnsi" w:cstheme="minorHAnsi"/>
          <w:b/>
          <w:bCs/>
          <w:i/>
          <w:iCs/>
          <w:sz w:val="24"/>
          <w:szCs w:val="24"/>
        </w:rPr>
        <w:t>equitable</w:t>
      </w:r>
      <w:r w:rsidRPr="00B80A44">
        <w:rPr>
          <w:rFonts w:asciiTheme="minorHAnsi" w:hAnsiTheme="minorHAnsi" w:cstheme="minorHAnsi"/>
          <w:sz w:val="24"/>
          <w:szCs w:val="24"/>
        </w:rPr>
        <w:t xml:space="preserve"> jurisdiction unless the statute expressly or impliedly shows that Congress intended to </w:t>
      </w:r>
      <w:r w:rsidRPr="00B80A44">
        <w:rPr>
          <w:rFonts w:asciiTheme="minorHAnsi" w:hAnsiTheme="minorHAnsi" w:cstheme="minorHAnsi"/>
          <w:b/>
          <w:bCs/>
          <w:i/>
          <w:iCs/>
          <w:sz w:val="24"/>
          <w:szCs w:val="24"/>
        </w:rPr>
        <w:t>preclude</w:t>
      </w:r>
      <w:r w:rsidRPr="00B80A44">
        <w:rPr>
          <w:rFonts w:asciiTheme="minorHAnsi" w:hAnsiTheme="minorHAnsi" w:cstheme="minorHAnsi"/>
          <w:sz w:val="24"/>
          <w:szCs w:val="24"/>
        </w:rPr>
        <w:t xml:space="preserve"> enforcement by such means.  </w:t>
      </w:r>
      <w:r w:rsidRPr="00B80A44">
        <w:rPr>
          <w:rFonts w:asciiTheme="minorHAnsi" w:hAnsiTheme="minorHAnsi" w:cstheme="minorHAnsi"/>
          <w:i/>
          <w:iCs/>
          <w:sz w:val="24"/>
          <w:szCs w:val="24"/>
        </w:rPr>
        <w:t>See Armstrong</w:t>
      </w:r>
      <w:r w:rsidRPr="00B80A44">
        <w:rPr>
          <w:rFonts w:asciiTheme="minorHAnsi" w:hAnsiTheme="minorHAnsi" w:cstheme="minorHAnsi"/>
          <w:sz w:val="24"/>
          <w:szCs w:val="24"/>
        </w:rPr>
        <w:t>, 575 U.S. at 327–28.  Thus, when (as here) the statute is silent as to how or by whom it may be enforced, a claim under the Court’s equitable power can proceed.</w:t>
      </w:r>
    </w:p>
    <w:p w14:paraId="01176816" w14:textId="77777777" w:rsidR="004130C6" w:rsidRPr="00B80A44" w:rsidRDefault="004130C6" w:rsidP="00254359">
      <w:pPr>
        <w:pStyle w:val="FootnoteText"/>
        <w:rPr>
          <w:rFonts w:asciiTheme="minorHAnsi" w:hAnsiTheme="minorHAnsi" w:cstheme="minorHAnsi"/>
          <w:sz w:val="24"/>
          <w:szCs w:val="24"/>
        </w:rPr>
      </w:pPr>
    </w:p>
  </w:footnote>
  <w:footnote w:id="110">
    <w:p w14:paraId="7A00C1B2" w14:textId="77777777" w:rsidR="004130C6" w:rsidRPr="00B80A44" w:rsidRDefault="004130C6" w:rsidP="00545E56">
      <w:pPr>
        <w:pStyle w:val="FootnoteText"/>
        <w:rPr>
          <w:rFonts w:asciiTheme="minorHAnsi" w:hAnsiTheme="minorHAnsi" w:cstheme="minorHAnsi"/>
          <w:sz w:val="24"/>
          <w:szCs w:val="24"/>
        </w:rPr>
      </w:pPr>
      <w:r w:rsidRPr="00B80A44">
        <w:rPr>
          <w:rStyle w:val="FootnoteReference"/>
          <w:rFonts w:asciiTheme="minorHAnsi" w:hAnsiTheme="minorHAnsi" w:cstheme="minorHAnsi"/>
          <w:sz w:val="24"/>
          <w:szCs w:val="24"/>
        </w:rPr>
        <w:footnoteRef/>
      </w:r>
      <w:r w:rsidRPr="00B80A44">
        <w:rPr>
          <w:rFonts w:asciiTheme="minorHAnsi" w:hAnsiTheme="minorHAnsi" w:cstheme="minorHAnsi"/>
          <w:sz w:val="24"/>
          <w:szCs w:val="24"/>
        </w:rPr>
        <w:t xml:space="preserve"> </w:t>
      </w:r>
      <w:r w:rsidRPr="00B80A44">
        <w:rPr>
          <w:rFonts w:asciiTheme="minorHAnsi" w:hAnsiTheme="minorHAnsi" w:cstheme="minorHAnsi"/>
          <w:i/>
          <w:iCs/>
          <w:sz w:val="24"/>
          <w:szCs w:val="24"/>
        </w:rPr>
        <w:t>See Armstrong</w:t>
      </w:r>
      <w:r w:rsidRPr="00B80A44">
        <w:rPr>
          <w:rFonts w:asciiTheme="minorHAnsi" w:hAnsiTheme="minorHAnsi" w:cstheme="minorHAnsi"/>
          <w:sz w:val="24"/>
          <w:szCs w:val="24"/>
        </w:rPr>
        <w:t>, 575 U.S. at 327 (“The ability to sue to enjoin unconstitutional actions by state and federal officers is the creation of courts of equity, and reflects a long history of judicial review of illegal executive action, tracing back to England.”).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D0078"/>
    <w:multiLevelType w:val="hybridMultilevel"/>
    <w:tmpl w:val="46269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21945"/>
    <w:multiLevelType w:val="hybridMultilevel"/>
    <w:tmpl w:val="66B8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55D94"/>
    <w:multiLevelType w:val="hybridMultilevel"/>
    <w:tmpl w:val="9254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7085A"/>
    <w:multiLevelType w:val="multilevel"/>
    <w:tmpl w:val="A87ADD88"/>
    <w:name w:val="pleadingtls_1"/>
    <w:lvl w:ilvl="0">
      <w:start w:val="1"/>
      <w:numFmt w:val="none"/>
      <w:lvlRestart w:val="0"/>
      <w:pStyle w:val="pleadingtls1"/>
      <w:suff w:val="nothing"/>
      <w:lvlText w:val=""/>
      <w:lvlJc w:val="center"/>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upperRoman"/>
      <w:pStyle w:val="pleadingtls2"/>
      <w:lvlText w:val="%2."/>
      <w:lvlJc w:val="left"/>
      <w:pPr>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upperLetter"/>
      <w:pStyle w:val="pleadingtls3"/>
      <w:lvlText w:val="%3."/>
      <w:lvlJc w:val="left"/>
      <w:pPr>
        <w:ind w:left="144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pleadingtls4"/>
      <w:lvlText w:val="%4."/>
      <w:lvlJc w:val="left"/>
      <w:pPr>
        <w:ind w:left="2160" w:hanging="720"/>
      </w:pPr>
      <w:rPr>
        <w:rFonts w:ascii="Times New Roman" w:hAnsi="Times New Roman" w:cs="Times New Roman"/>
        <w:b/>
        <w:i w:val="0"/>
        <w:caps w:val="0"/>
        <w:strike w:val="0"/>
        <w:dstrike w:val="0"/>
        <w:vanish w:val="0"/>
        <w:color w:val="auto"/>
        <w:sz w:val="24"/>
        <w:u w:val="none"/>
        <w:vertAlign w:val="baseline"/>
      </w:rPr>
    </w:lvl>
    <w:lvl w:ilvl="4">
      <w:start w:val="1"/>
      <w:numFmt w:val="lowerLetter"/>
      <w:pStyle w:val="pleadingtls5"/>
      <w:lvlText w:val="%5."/>
      <w:lvlJc w:val="left"/>
      <w:pPr>
        <w:ind w:left="2880" w:hanging="720"/>
      </w:pPr>
      <w:rPr>
        <w:rFonts w:ascii="Times New Roman" w:hAnsi="Times New Roman" w:cs="Times New Roman"/>
        <w:b/>
        <w:i w:val="0"/>
        <w:caps w:val="0"/>
        <w:strike w:val="0"/>
        <w:dstrike w:val="0"/>
        <w:vanish w:val="0"/>
        <w:color w:val="auto"/>
        <w:sz w:val="24"/>
        <w:u w:val="none"/>
        <w:vertAlign w:val="baseline"/>
      </w:rPr>
    </w:lvl>
    <w:lvl w:ilvl="5">
      <w:start w:val="1"/>
      <w:numFmt w:val="lowerRoman"/>
      <w:pStyle w:val="pleadingtls6"/>
      <w:lvlText w:val="%6."/>
      <w:lvlJc w:val="left"/>
      <w:pPr>
        <w:ind w:left="3586" w:hanging="706"/>
      </w:pPr>
      <w:rPr>
        <w:rFonts w:ascii="Times New Roman" w:hAnsi="Times New Roman" w:cs="Times New Roman"/>
        <w:b/>
        <w:i w:val="0"/>
        <w:caps w:val="0"/>
        <w:strike w:val="0"/>
        <w:dstrike w:val="0"/>
        <w:vanish w:val="0"/>
        <w:color w:val="auto"/>
        <w:sz w:val="24"/>
        <w:u w:val="none"/>
        <w:vertAlign w:val="baseline"/>
      </w:rPr>
    </w:lvl>
    <w:lvl w:ilvl="6">
      <w:start w:val="1"/>
      <w:numFmt w:val="upperLetter"/>
      <w:pStyle w:val="pleadingtls7"/>
      <w:lvlText w:val="(%7)"/>
      <w:lvlJc w:val="left"/>
      <w:pPr>
        <w:ind w:left="4306" w:hanging="720"/>
      </w:pPr>
      <w:rPr>
        <w:rFonts w:ascii="Times New Roman" w:hAnsi="Times New Roman" w:cs="Times New Roman"/>
        <w:b/>
        <w:i w:val="0"/>
        <w:caps w:val="0"/>
        <w:strike w:val="0"/>
        <w:dstrike w:val="0"/>
        <w:vanish w:val="0"/>
        <w:color w:val="auto"/>
        <w:sz w:val="24"/>
        <w:u w:val="none"/>
        <w:vertAlign w:val="baseline"/>
      </w:rPr>
    </w:lvl>
    <w:lvl w:ilvl="7">
      <w:start w:val="1"/>
      <w:numFmt w:val="decimal"/>
      <w:pStyle w:val="pleadingtls8"/>
      <w:lvlText w:val="(%8)"/>
      <w:lvlJc w:val="left"/>
      <w:pPr>
        <w:ind w:left="5026" w:hanging="720"/>
      </w:pPr>
      <w:rPr>
        <w:rFonts w:ascii="Times New Roman" w:hAnsi="Times New Roman" w:cs="Times New Roman"/>
        <w:b/>
        <w:i w:val="0"/>
        <w:caps w:val="0"/>
        <w:strike w:val="0"/>
        <w:dstrike w:val="0"/>
        <w:vanish w:val="0"/>
        <w:color w:val="auto"/>
        <w:sz w:val="24"/>
        <w:u w:val="none"/>
        <w:vertAlign w:val="baseline"/>
      </w:rPr>
    </w:lvl>
    <w:lvl w:ilvl="8">
      <w:start w:val="1"/>
      <w:numFmt w:val="lowerLetter"/>
      <w:pStyle w:val="pleadingtls9"/>
      <w:lvlText w:val="(%9)"/>
      <w:lvlJc w:val="left"/>
      <w:pPr>
        <w:ind w:left="5746" w:hanging="720"/>
      </w:pPr>
      <w:rPr>
        <w:rFonts w:ascii="Times New Roman" w:hAnsi="Times New Roman" w:cs="Times New Roman"/>
        <w:b/>
        <w:i w:val="0"/>
        <w:caps w:val="0"/>
        <w:strike w:val="0"/>
        <w:dstrike w:val="0"/>
        <w:vanish w:val="0"/>
        <w:color w:val="auto"/>
        <w:sz w:val="24"/>
        <w:u w:val="none"/>
        <w:vertAlign w:val="baseline"/>
      </w:rPr>
    </w:lvl>
  </w:abstractNum>
  <w:abstractNum w:abstractNumId="5" w15:restartNumberingAfterBreak="0">
    <w:nsid w:val="1F181613"/>
    <w:multiLevelType w:val="hybridMultilevel"/>
    <w:tmpl w:val="FD44B2FA"/>
    <w:lvl w:ilvl="0" w:tplc="CDC6B8AA">
      <w:start w:val="1"/>
      <w:numFmt w:val="upperRoman"/>
      <w:lvlText w:val="%1."/>
      <w:lvlJc w:val="left"/>
      <w:pPr>
        <w:ind w:left="720" w:hanging="720"/>
      </w:pPr>
      <w:rPr>
        <w:rFonts w:hint="default"/>
      </w:rPr>
    </w:lvl>
    <w:lvl w:ilvl="1" w:tplc="F86CF5EA">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E062E"/>
    <w:multiLevelType w:val="hybridMultilevel"/>
    <w:tmpl w:val="79646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A441D4"/>
    <w:multiLevelType w:val="hybridMultilevel"/>
    <w:tmpl w:val="5112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454F78"/>
    <w:multiLevelType w:val="hybridMultilevel"/>
    <w:tmpl w:val="5B18068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4115EE"/>
    <w:multiLevelType w:val="hybridMultilevel"/>
    <w:tmpl w:val="1016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75DF4"/>
    <w:multiLevelType w:val="hybridMultilevel"/>
    <w:tmpl w:val="39C23946"/>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1" w15:restartNumberingAfterBreak="0">
    <w:nsid w:val="622E570D"/>
    <w:multiLevelType w:val="hybridMultilevel"/>
    <w:tmpl w:val="CD220C0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5048"/>
    <w:multiLevelType w:val="hybridMultilevel"/>
    <w:tmpl w:val="4F9C8CE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3" w15:restartNumberingAfterBreak="0">
    <w:nsid w:val="6A7D0D23"/>
    <w:multiLevelType w:val="hybridMultilevel"/>
    <w:tmpl w:val="6798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B75CD"/>
    <w:multiLevelType w:val="hybridMultilevel"/>
    <w:tmpl w:val="24729526"/>
    <w:lvl w:ilvl="0" w:tplc="04090015">
      <w:start w:val="1"/>
      <w:numFmt w:val="upperLetter"/>
      <w:lvlText w:val="%1."/>
      <w:lvlJc w:val="left"/>
      <w:pPr>
        <w:ind w:left="1080" w:hanging="720"/>
      </w:pPr>
      <w:rPr>
        <w:rFonts w:hint="default"/>
      </w:rPr>
    </w:lvl>
    <w:lvl w:ilvl="1" w:tplc="0D0268CE">
      <w:start w:val="1"/>
      <w:numFmt w:val="decimal"/>
      <w:lvlText w:val="%2."/>
      <w:lvlJc w:val="left"/>
      <w:pPr>
        <w:ind w:left="2160" w:hanging="720"/>
      </w:pPr>
      <w:rPr>
        <w:rFonts w:hint="default"/>
      </w:rPr>
    </w:lvl>
    <w:lvl w:ilvl="2" w:tplc="04090017">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9"/>
  </w:num>
  <w:num w:numId="13">
    <w:abstractNumId w:val="14"/>
  </w:num>
  <w:num w:numId="14">
    <w:abstractNumId w:val="12"/>
  </w:num>
  <w:num w:numId="15">
    <w:abstractNumId w:val="10"/>
  </w:num>
  <w:num w:numId="16">
    <w:abstractNumId w:val="2"/>
  </w:num>
  <w:num w:numId="17">
    <w:abstractNumId w:val="11"/>
  </w:num>
  <w:num w:numId="18">
    <w:abstractNumId w:val="6"/>
  </w:num>
  <w:num w:numId="19">
    <w:abstractNumId w:val="7"/>
  </w:num>
  <w:num w:numId="20">
    <w:abstractNumId w:val="1"/>
  </w:num>
  <w:num w:numId="21">
    <w:abstractNumId w:val="8"/>
  </w:num>
  <w:num w:numId="22">
    <w:abstractNumId w:val="1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92"/>
    <w:rsid w:val="000000D4"/>
    <w:rsid w:val="00000E5F"/>
    <w:rsid w:val="00004182"/>
    <w:rsid w:val="00006041"/>
    <w:rsid w:val="00006799"/>
    <w:rsid w:val="00006CB9"/>
    <w:rsid w:val="00012502"/>
    <w:rsid w:val="0001726F"/>
    <w:rsid w:val="00020F15"/>
    <w:rsid w:val="00021FCE"/>
    <w:rsid w:val="000274FE"/>
    <w:rsid w:val="00027C59"/>
    <w:rsid w:val="00027C63"/>
    <w:rsid w:val="00037371"/>
    <w:rsid w:val="00046115"/>
    <w:rsid w:val="00053F6C"/>
    <w:rsid w:val="00054835"/>
    <w:rsid w:val="00056CC3"/>
    <w:rsid w:val="000629B6"/>
    <w:rsid w:val="00064B93"/>
    <w:rsid w:val="000658EF"/>
    <w:rsid w:val="00066882"/>
    <w:rsid w:val="00072342"/>
    <w:rsid w:val="00073318"/>
    <w:rsid w:val="00074D05"/>
    <w:rsid w:val="000838B4"/>
    <w:rsid w:val="000841BA"/>
    <w:rsid w:val="00086D69"/>
    <w:rsid w:val="00092631"/>
    <w:rsid w:val="00092A1B"/>
    <w:rsid w:val="000A230F"/>
    <w:rsid w:val="000A74EB"/>
    <w:rsid w:val="000B09D9"/>
    <w:rsid w:val="000C2C44"/>
    <w:rsid w:val="000C5EE7"/>
    <w:rsid w:val="000D15F3"/>
    <w:rsid w:val="000D1E99"/>
    <w:rsid w:val="000D66EA"/>
    <w:rsid w:val="000E0172"/>
    <w:rsid w:val="000F412D"/>
    <w:rsid w:val="0010004F"/>
    <w:rsid w:val="00105370"/>
    <w:rsid w:val="00106EAF"/>
    <w:rsid w:val="001073A3"/>
    <w:rsid w:val="001103CC"/>
    <w:rsid w:val="001121D6"/>
    <w:rsid w:val="00112A36"/>
    <w:rsid w:val="001146D8"/>
    <w:rsid w:val="00117438"/>
    <w:rsid w:val="0012412A"/>
    <w:rsid w:val="0013420B"/>
    <w:rsid w:val="00161018"/>
    <w:rsid w:val="001618A5"/>
    <w:rsid w:val="00162CF2"/>
    <w:rsid w:val="00167BD9"/>
    <w:rsid w:val="001716BC"/>
    <w:rsid w:val="001725A0"/>
    <w:rsid w:val="00173A43"/>
    <w:rsid w:val="00187BB1"/>
    <w:rsid w:val="00192241"/>
    <w:rsid w:val="00193030"/>
    <w:rsid w:val="00193596"/>
    <w:rsid w:val="001952EC"/>
    <w:rsid w:val="00195BBB"/>
    <w:rsid w:val="001A5AE1"/>
    <w:rsid w:val="001B0644"/>
    <w:rsid w:val="001B50DA"/>
    <w:rsid w:val="001B6B9C"/>
    <w:rsid w:val="001C2160"/>
    <w:rsid w:val="001D6296"/>
    <w:rsid w:val="001E1DD9"/>
    <w:rsid w:val="001F2D17"/>
    <w:rsid w:val="00200849"/>
    <w:rsid w:val="002039D6"/>
    <w:rsid w:val="00210365"/>
    <w:rsid w:val="00211EF1"/>
    <w:rsid w:val="00223A32"/>
    <w:rsid w:val="002325A0"/>
    <w:rsid w:val="00242F4B"/>
    <w:rsid w:val="00243F5E"/>
    <w:rsid w:val="00247FD6"/>
    <w:rsid w:val="00252F2F"/>
    <w:rsid w:val="00254359"/>
    <w:rsid w:val="00254603"/>
    <w:rsid w:val="00255D45"/>
    <w:rsid w:val="002641F0"/>
    <w:rsid w:val="00282973"/>
    <w:rsid w:val="002833A9"/>
    <w:rsid w:val="0028453C"/>
    <w:rsid w:val="002A21E2"/>
    <w:rsid w:val="002A2C47"/>
    <w:rsid w:val="002B58C1"/>
    <w:rsid w:val="002C0089"/>
    <w:rsid w:val="002C2E04"/>
    <w:rsid w:val="002C3576"/>
    <w:rsid w:val="002C6C88"/>
    <w:rsid w:val="002C7770"/>
    <w:rsid w:val="002D6FE2"/>
    <w:rsid w:val="002E1179"/>
    <w:rsid w:val="002F433D"/>
    <w:rsid w:val="002F5F68"/>
    <w:rsid w:val="002F687D"/>
    <w:rsid w:val="002F77C4"/>
    <w:rsid w:val="00304D37"/>
    <w:rsid w:val="00305D72"/>
    <w:rsid w:val="00311485"/>
    <w:rsid w:val="0031154B"/>
    <w:rsid w:val="00311646"/>
    <w:rsid w:val="00312554"/>
    <w:rsid w:val="00331888"/>
    <w:rsid w:val="0033614B"/>
    <w:rsid w:val="00336E3D"/>
    <w:rsid w:val="00353117"/>
    <w:rsid w:val="003544EB"/>
    <w:rsid w:val="0036195E"/>
    <w:rsid w:val="00373857"/>
    <w:rsid w:val="003814A3"/>
    <w:rsid w:val="00381D35"/>
    <w:rsid w:val="0039224E"/>
    <w:rsid w:val="003A178D"/>
    <w:rsid w:val="003A29D3"/>
    <w:rsid w:val="003B0680"/>
    <w:rsid w:val="003D0C18"/>
    <w:rsid w:val="003D1763"/>
    <w:rsid w:val="003D21E7"/>
    <w:rsid w:val="003D38C9"/>
    <w:rsid w:val="003D531B"/>
    <w:rsid w:val="003E5B6C"/>
    <w:rsid w:val="003F50DD"/>
    <w:rsid w:val="004126DC"/>
    <w:rsid w:val="004130C6"/>
    <w:rsid w:val="00416374"/>
    <w:rsid w:val="0041678A"/>
    <w:rsid w:val="0042003C"/>
    <w:rsid w:val="00422F14"/>
    <w:rsid w:val="00423BD2"/>
    <w:rsid w:val="00435592"/>
    <w:rsid w:val="004366F3"/>
    <w:rsid w:val="0043760F"/>
    <w:rsid w:val="00440267"/>
    <w:rsid w:val="00453FDD"/>
    <w:rsid w:val="0046040A"/>
    <w:rsid w:val="0046226B"/>
    <w:rsid w:val="00462E0B"/>
    <w:rsid w:val="004636D0"/>
    <w:rsid w:val="00463E93"/>
    <w:rsid w:val="004673E6"/>
    <w:rsid w:val="00467745"/>
    <w:rsid w:val="00472CA9"/>
    <w:rsid w:val="00483064"/>
    <w:rsid w:val="00490E11"/>
    <w:rsid w:val="004979A5"/>
    <w:rsid w:val="004A1833"/>
    <w:rsid w:val="004A56AA"/>
    <w:rsid w:val="004A5EDB"/>
    <w:rsid w:val="004B21B0"/>
    <w:rsid w:val="004B4E41"/>
    <w:rsid w:val="004B5338"/>
    <w:rsid w:val="004C049B"/>
    <w:rsid w:val="004D0735"/>
    <w:rsid w:val="004D58AE"/>
    <w:rsid w:val="004E27BD"/>
    <w:rsid w:val="004F1D02"/>
    <w:rsid w:val="004F360C"/>
    <w:rsid w:val="005010A9"/>
    <w:rsid w:val="00501344"/>
    <w:rsid w:val="00510ECD"/>
    <w:rsid w:val="00512085"/>
    <w:rsid w:val="00512DE9"/>
    <w:rsid w:val="0052109B"/>
    <w:rsid w:val="0053102D"/>
    <w:rsid w:val="00532003"/>
    <w:rsid w:val="00532E36"/>
    <w:rsid w:val="005430CC"/>
    <w:rsid w:val="00543C39"/>
    <w:rsid w:val="0054464D"/>
    <w:rsid w:val="00545E56"/>
    <w:rsid w:val="0055062C"/>
    <w:rsid w:val="00555A07"/>
    <w:rsid w:val="005577D2"/>
    <w:rsid w:val="0056169E"/>
    <w:rsid w:val="00570F11"/>
    <w:rsid w:val="0057115E"/>
    <w:rsid w:val="0057427A"/>
    <w:rsid w:val="0057679D"/>
    <w:rsid w:val="0057686C"/>
    <w:rsid w:val="0058568F"/>
    <w:rsid w:val="00590AE0"/>
    <w:rsid w:val="00595BB3"/>
    <w:rsid w:val="0059615D"/>
    <w:rsid w:val="00597B3A"/>
    <w:rsid w:val="005A1A6C"/>
    <w:rsid w:val="005A2C19"/>
    <w:rsid w:val="005A3F22"/>
    <w:rsid w:val="005A6B06"/>
    <w:rsid w:val="005A71E1"/>
    <w:rsid w:val="005B7A67"/>
    <w:rsid w:val="005C20ED"/>
    <w:rsid w:val="005C2C6D"/>
    <w:rsid w:val="005C54C1"/>
    <w:rsid w:val="005C554A"/>
    <w:rsid w:val="005C6038"/>
    <w:rsid w:val="005D70D1"/>
    <w:rsid w:val="005E1E94"/>
    <w:rsid w:val="005E7718"/>
    <w:rsid w:val="005F500B"/>
    <w:rsid w:val="005F6034"/>
    <w:rsid w:val="0060029C"/>
    <w:rsid w:val="00604EC8"/>
    <w:rsid w:val="006051DC"/>
    <w:rsid w:val="006176F4"/>
    <w:rsid w:val="00617B6D"/>
    <w:rsid w:val="00622340"/>
    <w:rsid w:val="00626524"/>
    <w:rsid w:val="00630F1B"/>
    <w:rsid w:val="00636453"/>
    <w:rsid w:val="00636A29"/>
    <w:rsid w:val="0063724B"/>
    <w:rsid w:val="00640ED5"/>
    <w:rsid w:val="006413B4"/>
    <w:rsid w:val="00647ADB"/>
    <w:rsid w:val="00651019"/>
    <w:rsid w:val="00651415"/>
    <w:rsid w:val="006521C6"/>
    <w:rsid w:val="00652A20"/>
    <w:rsid w:val="0065677A"/>
    <w:rsid w:val="00674E8C"/>
    <w:rsid w:val="00676EC4"/>
    <w:rsid w:val="0068216D"/>
    <w:rsid w:val="00683778"/>
    <w:rsid w:val="0068405A"/>
    <w:rsid w:val="00685C6D"/>
    <w:rsid w:val="00692BC0"/>
    <w:rsid w:val="00695093"/>
    <w:rsid w:val="006A5965"/>
    <w:rsid w:val="006B4042"/>
    <w:rsid w:val="006B51A0"/>
    <w:rsid w:val="006C7A72"/>
    <w:rsid w:val="006D0AF6"/>
    <w:rsid w:val="006D26FA"/>
    <w:rsid w:val="006D348A"/>
    <w:rsid w:val="006D5914"/>
    <w:rsid w:val="006D70BA"/>
    <w:rsid w:val="006E076A"/>
    <w:rsid w:val="006E0A95"/>
    <w:rsid w:val="006E58C4"/>
    <w:rsid w:val="006F1B1B"/>
    <w:rsid w:val="006F324A"/>
    <w:rsid w:val="006F4955"/>
    <w:rsid w:val="006F5724"/>
    <w:rsid w:val="006F60A2"/>
    <w:rsid w:val="007051C5"/>
    <w:rsid w:val="00707691"/>
    <w:rsid w:val="00712E84"/>
    <w:rsid w:val="00715414"/>
    <w:rsid w:val="007262D2"/>
    <w:rsid w:val="00734FC1"/>
    <w:rsid w:val="00741503"/>
    <w:rsid w:val="007426E5"/>
    <w:rsid w:val="007467CB"/>
    <w:rsid w:val="00751288"/>
    <w:rsid w:val="007517E8"/>
    <w:rsid w:val="007534F9"/>
    <w:rsid w:val="00755D15"/>
    <w:rsid w:val="00756431"/>
    <w:rsid w:val="00757B4F"/>
    <w:rsid w:val="00765EFA"/>
    <w:rsid w:val="00770456"/>
    <w:rsid w:val="00781C9D"/>
    <w:rsid w:val="00782EE6"/>
    <w:rsid w:val="007860E0"/>
    <w:rsid w:val="00791C05"/>
    <w:rsid w:val="0079704E"/>
    <w:rsid w:val="00797ECA"/>
    <w:rsid w:val="007A18A1"/>
    <w:rsid w:val="007A4534"/>
    <w:rsid w:val="007B725A"/>
    <w:rsid w:val="007C5B05"/>
    <w:rsid w:val="007C60A6"/>
    <w:rsid w:val="007C735A"/>
    <w:rsid w:val="007D02D5"/>
    <w:rsid w:val="007D74ED"/>
    <w:rsid w:val="007E08B5"/>
    <w:rsid w:val="007E42D5"/>
    <w:rsid w:val="007E48CF"/>
    <w:rsid w:val="007F3B8D"/>
    <w:rsid w:val="007F5FDA"/>
    <w:rsid w:val="008045ED"/>
    <w:rsid w:val="0080501A"/>
    <w:rsid w:val="00806104"/>
    <w:rsid w:val="0080695F"/>
    <w:rsid w:val="00811936"/>
    <w:rsid w:val="00812BC5"/>
    <w:rsid w:val="008229BC"/>
    <w:rsid w:val="00833815"/>
    <w:rsid w:val="00834C5A"/>
    <w:rsid w:val="00841DCC"/>
    <w:rsid w:val="008458FA"/>
    <w:rsid w:val="008512C1"/>
    <w:rsid w:val="00852C87"/>
    <w:rsid w:val="00856D94"/>
    <w:rsid w:val="00857843"/>
    <w:rsid w:val="00860987"/>
    <w:rsid w:val="008611E9"/>
    <w:rsid w:val="00862D08"/>
    <w:rsid w:val="00867055"/>
    <w:rsid w:val="0087070A"/>
    <w:rsid w:val="00875A2C"/>
    <w:rsid w:val="00886ECA"/>
    <w:rsid w:val="0089071C"/>
    <w:rsid w:val="008931E0"/>
    <w:rsid w:val="00894DC8"/>
    <w:rsid w:val="00895C86"/>
    <w:rsid w:val="008A215D"/>
    <w:rsid w:val="008A3C24"/>
    <w:rsid w:val="008A5487"/>
    <w:rsid w:val="008A7EF9"/>
    <w:rsid w:val="008B5167"/>
    <w:rsid w:val="008C175D"/>
    <w:rsid w:val="008C2C5F"/>
    <w:rsid w:val="008C3048"/>
    <w:rsid w:val="008C5B2E"/>
    <w:rsid w:val="008D0E9C"/>
    <w:rsid w:val="008D1A09"/>
    <w:rsid w:val="008D28FF"/>
    <w:rsid w:val="008D2E93"/>
    <w:rsid w:val="008D40D0"/>
    <w:rsid w:val="008D6AEF"/>
    <w:rsid w:val="008F3757"/>
    <w:rsid w:val="008F6014"/>
    <w:rsid w:val="008F631F"/>
    <w:rsid w:val="008F67E1"/>
    <w:rsid w:val="0090791B"/>
    <w:rsid w:val="00926DE9"/>
    <w:rsid w:val="00931392"/>
    <w:rsid w:val="0093272F"/>
    <w:rsid w:val="00933C87"/>
    <w:rsid w:val="009425DC"/>
    <w:rsid w:val="00942ECA"/>
    <w:rsid w:val="0094612C"/>
    <w:rsid w:val="009533F0"/>
    <w:rsid w:val="00956995"/>
    <w:rsid w:val="009578B2"/>
    <w:rsid w:val="009637BE"/>
    <w:rsid w:val="00963F9A"/>
    <w:rsid w:val="009641D4"/>
    <w:rsid w:val="00966CB4"/>
    <w:rsid w:val="00984741"/>
    <w:rsid w:val="009848BC"/>
    <w:rsid w:val="009943B8"/>
    <w:rsid w:val="009A275B"/>
    <w:rsid w:val="009A545A"/>
    <w:rsid w:val="009A6217"/>
    <w:rsid w:val="009B2D8E"/>
    <w:rsid w:val="009C0244"/>
    <w:rsid w:val="009C0490"/>
    <w:rsid w:val="009C45FA"/>
    <w:rsid w:val="009C5EDE"/>
    <w:rsid w:val="009D0525"/>
    <w:rsid w:val="009D0E73"/>
    <w:rsid w:val="009D3121"/>
    <w:rsid w:val="009D3ABD"/>
    <w:rsid w:val="009D4417"/>
    <w:rsid w:val="009D6655"/>
    <w:rsid w:val="009E6462"/>
    <w:rsid w:val="009F0BA5"/>
    <w:rsid w:val="009F1A27"/>
    <w:rsid w:val="009F4CFE"/>
    <w:rsid w:val="00A0149D"/>
    <w:rsid w:val="00A01747"/>
    <w:rsid w:val="00A04886"/>
    <w:rsid w:val="00A10DB8"/>
    <w:rsid w:val="00A13AF3"/>
    <w:rsid w:val="00A1410B"/>
    <w:rsid w:val="00A214E9"/>
    <w:rsid w:val="00A25418"/>
    <w:rsid w:val="00A339D2"/>
    <w:rsid w:val="00A359E9"/>
    <w:rsid w:val="00A35EDC"/>
    <w:rsid w:val="00A35F3A"/>
    <w:rsid w:val="00A37B6D"/>
    <w:rsid w:val="00A41DB1"/>
    <w:rsid w:val="00A42306"/>
    <w:rsid w:val="00A478F2"/>
    <w:rsid w:val="00A51A5D"/>
    <w:rsid w:val="00A64D99"/>
    <w:rsid w:val="00A6663D"/>
    <w:rsid w:val="00A74B7B"/>
    <w:rsid w:val="00A7718B"/>
    <w:rsid w:val="00A81E3A"/>
    <w:rsid w:val="00A827F9"/>
    <w:rsid w:val="00A82853"/>
    <w:rsid w:val="00A87686"/>
    <w:rsid w:val="00A906C5"/>
    <w:rsid w:val="00A92074"/>
    <w:rsid w:val="00A9559B"/>
    <w:rsid w:val="00A97062"/>
    <w:rsid w:val="00AA112A"/>
    <w:rsid w:val="00AA17D0"/>
    <w:rsid w:val="00AA395D"/>
    <w:rsid w:val="00AA7DF9"/>
    <w:rsid w:val="00AB09C4"/>
    <w:rsid w:val="00AB158D"/>
    <w:rsid w:val="00AB3798"/>
    <w:rsid w:val="00AB43D9"/>
    <w:rsid w:val="00AB628B"/>
    <w:rsid w:val="00AE0FBE"/>
    <w:rsid w:val="00AE622E"/>
    <w:rsid w:val="00AE667D"/>
    <w:rsid w:val="00AE75BE"/>
    <w:rsid w:val="00AF0AAB"/>
    <w:rsid w:val="00AF110A"/>
    <w:rsid w:val="00AF21DB"/>
    <w:rsid w:val="00AF3EA0"/>
    <w:rsid w:val="00AF5C43"/>
    <w:rsid w:val="00B05095"/>
    <w:rsid w:val="00B14EAA"/>
    <w:rsid w:val="00B20E54"/>
    <w:rsid w:val="00B22AA8"/>
    <w:rsid w:val="00B22BC7"/>
    <w:rsid w:val="00B3042C"/>
    <w:rsid w:val="00B33E5E"/>
    <w:rsid w:val="00B4082F"/>
    <w:rsid w:val="00B43973"/>
    <w:rsid w:val="00B46F34"/>
    <w:rsid w:val="00B552BE"/>
    <w:rsid w:val="00B65246"/>
    <w:rsid w:val="00B67B83"/>
    <w:rsid w:val="00B70ABE"/>
    <w:rsid w:val="00B70B66"/>
    <w:rsid w:val="00B80A44"/>
    <w:rsid w:val="00B82EA2"/>
    <w:rsid w:val="00B870B5"/>
    <w:rsid w:val="00B94D34"/>
    <w:rsid w:val="00B97CED"/>
    <w:rsid w:val="00BA2B82"/>
    <w:rsid w:val="00BA36CF"/>
    <w:rsid w:val="00BA54B4"/>
    <w:rsid w:val="00BB09A1"/>
    <w:rsid w:val="00BB1355"/>
    <w:rsid w:val="00BB714F"/>
    <w:rsid w:val="00BC57C4"/>
    <w:rsid w:val="00BD0497"/>
    <w:rsid w:val="00BD4EF5"/>
    <w:rsid w:val="00BE5269"/>
    <w:rsid w:val="00BE7D7F"/>
    <w:rsid w:val="00BF3A46"/>
    <w:rsid w:val="00BF3AAC"/>
    <w:rsid w:val="00BF5122"/>
    <w:rsid w:val="00C039BC"/>
    <w:rsid w:val="00C03CB0"/>
    <w:rsid w:val="00C046B8"/>
    <w:rsid w:val="00C056EC"/>
    <w:rsid w:val="00C1423B"/>
    <w:rsid w:val="00C23EEF"/>
    <w:rsid w:val="00C30256"/>
    <w:rsid w:val="00C32CFD"/>
    <w:rsid w:val="00C35822"/>
    <w:rsid w:val="00C37577"/>
    <w:rsid w:val="00C45F8F"/>
    <w:rsid w:val="00C52673"/>
    <w:rsid w:val="00C55019"/>
    <w:rsid w:val="00C5502D"/>
    <w:rsid w:val="00C56E5B"/>
    <w:rsid w:val="00C65870"/>
    <w:rsid w:val="00C701F4"/>
    <w:rsid w:val="00C7205A"/>
    <w:rsid w:val="00C73DC3"/>
    <w:rsid w:val="00C82758"/>
    <w:rsid w:val="00C8390A"/>
    <w:rsid w:val="00C8456F"/>
    <w:rsid w:val="00C9335B"/>
    <w:rsid w:val="00C94A7D"/>
    <w:rsid w:val="00C94A8B"/>
    <w:rsid w:val="00CA2280"/>
    <w:rsid w:val="00CB47FC"/>
    <w:rsid w:val="00CC0CC5"/>
    <w:rsid w:val="00CC72EA"/>
    <w:rsid w:val="00CD07B8"/>
    <w:rsid w:val="00CD090D"/>
    <w:rsid w:val="00CD223D"/>
    <w:rsid w:val="00CD6B45"/>
    <w:rsid w:val="00CE4736"/>
    <w:rsid w:val="00CE5C31"/>
    <w:rsid w:val="00CE5F3E"/>
    <w:rsid w:val="00CE689D"/>
    <w:rsid w:val="00CF0034"/>
    <w:rsid w:val="00CF1B32"/>
    <w:rsid w:val="00CF1CEC"/>
    <w:rsid w:val="00CF74BF"/>
    <w:rsid w:val="00D02E96"/>
    <w:rsid w:val="00D12409"/>
    <w:rsid w:val="00D13649"/>
    <w:rsid w:val="00D14DA6"/>
    <w:rsid w:val="00D204AA"/>
    <w:rsid w:val="00D20A1A"/>
    <w:rsid w:val="00D24A72"/>
    <w:rsid w:val="00D258FB"/>
    <w:rsid w:val="00D57A48"/>
    <w:rsid w:val="00D6578C"/>
    <w:rsid w:val="00D75B35"/>
    <w:rsid w:val="00D81210"/>
    <w:rsid w:val="00D85B5B"/>
    <w:rsid w:val="00D85F2F"/>
    <w:rsid w:val="00D9680B"/>
    <w:rsid w:val="00D971CB"/>
    <w:rsid w:val="00DA2FAE"/>
    <w:rsid w:val="00DA5613"/>
    <w:rsid w:val="00DA5CE9"/>
    <w:rsid w:val="00DB1B86"/>
    <w:rsid w:val="00DC04C2"/>
    <w:rsid w:val="00DC2D42"/>
    <w:rsid w:val="00DC5553"/>
    <w:rsid w:val="00DD17BC"/>
    <w:rsid w:val="00DD26E4"/>
    <w:rsid w:val="00DD4CAE"/>
    <w:rsid w:val="00DD563C"/>
    <w:rsid w:val="00DE6B57"/>
    <w:rsid w:val="00DF1A1D"/>
    <w:rsid w:val="00DF4A11"/>
    <w:rsid w:val="00DF5AB9"/>
    <w:rsid w:val="00E01B10"/>
    <w:rsid w:val="00E02223"/>
    <w:rsid w:val="00E04039"/>
    <w:rsid w:val="00E106A8"/>
    <w:rsid w:val="00E134D7"/>
    <w:rsid w:val="00E14509"/>
    <w:rsid w:val="00E16242"/>
    <w:rsid w:val="00E17932"/>
    <w:rsid w:val="00E179EB"/>
    <w:rsid w:val="00E23587"/>
    <w:rsid w:val="00E24C1F"/>
    <w:rsid w:val="00E25AA6"/>
    <w:rsid w:val="00E26365"/>
    <w:rsid w:val="00E40798"/>
    <w:rsid w:val="00E52737"/>
    <w:rsid w:val="00E5486B"/>
    <w:rsid w:val="00E54CEA"/>
    <w:rsid w:val="00E6177D"/>
    <w:rsid w:val="00E72677"/>
    <w:rsid w:val="00E72FB5"/>
    <w:rsid w:val="00E74DAC"/>
    <w:rsid w:val="00E76287"/>
    <w:rsid w:val="00E80A5E"/>
    <w:rsid w:val="00E87748"/>
    <w:rsid w:val="00E968B6"/>
    <w:rsid w:val="00EA1D04"/>
    <w:rsid w:val="00EA49DE"/>
    <w:rsid w:val="00EA6DDC"/>
    <w:rsid w:val="00EB3DAC"/>
    <w:rsid w:val="00EB4DF1"/>
    <w:rsid w:val="00EC0F84"/>
    <w:rsid w:val="00EC4CE6"/>
    <w:rsid w:val="00ED709B"/>
    <w:rsid w:val="00ED70F7"/>
    <w:rsid w:val="00EE6B7C"/>
    <w:rsid w:val="00EF0345"/>
    <w:rsid w:val="00EF51DE"/>
    <w:rsid w:val="00F02547"/>
    <w:rsid w:val="00F10ED5"/>
    <w:rsid w:val="00F116D0"/>
    <w:rsid w:val="00F21C99"/>
    <w:rsid w:val="00F223FE"/>
    <w:rsid w:val="00F22F85"/>
    <w:rsid w:val="00F24822"/>
    <w:rsid w:val="00F25ABB"/>
    <w:rsid w:val="00F352D9"/>
    <w:rsid w:val="00F453A5"/>
    <w:rsid w:val="00F523DF"/>
    <w:rsid w:val="00F80334"/>
    <w:rsid w:val="00F8722B"/>
    <w:rsid w:val="00F90DBF"/>
    <w:rsid w:val="00F94117"/>
    <w:rsid w:val="00F94173"/>
    <w:rsid w:val="00F96B22"/>
    <w:rsid w:val="00F97FB6"/>
    <w:rsid w:val="00FA1C0D"/>
    <w:rsid w:val="00FA319A"/>
    <w:rsid w:val="00FA32BF"/>
    <w:rsid w:val="00FA3968"/>
    <w:rsid w:val="00FA580E"/>
    <w:rsid w:val="00FB6809"/>
    <w:rsid w:val="00FC07CB"/>
    <w:rsid w:val="00FC6F27"/>
    <w:rsid w:val="00FD0ADC"/>
    <w:rsid w:val="00FD5D74"/>
    <w:rsid w:val="00FD6982"/>
    <w:rsid w:val="00FE0E21"/>
    <w:rsid w:val="00FE152A"/>
    <w:rsid w:val="00FE3453"/>
    <w:rsid w:val="00FF06FE"/>
    <w:rsid w:val="00FF4623"/>
    <w:rsid w:val="00FF6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1A4222"/>
  <w15:chartTrackingRefBased/>
  <w15:docId w15:val="{43E4AF0E-C3AE-47A0-A4DD-2198ABEF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1">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customStyle="1" w:styleId="SignatureChar">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F223FE"/>
    <w:rPr>
      <w:rFonts w:asciiTheme="majorHAnsi" w:eastAsiaTheme="majorEastAsia" w:hAnsiTheme="majorHAnsi" w:cstheme="majorBidi"/>
      <w:bCs/>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F223FE"/>
    <w:rPr>
      <w:rFonts w:asciiTheme="majorHAnsi" w:eastAsiaTheme="majorEastAsia" w:hAnsiTheme="majorHAnsi" w:cstheme="majorBidi"/>
      <w:bCs/>
      <w:szCs w:val="28"/>
    </w:rPr>
  </w:style>
  <w:style w:type="character" w:customStyle="1" w:styleId="Heading3Char">
    <w:name w:val="Heading 3 Char"/>
    <w:basedOn w:val="DefaultParagraphFont"/>
    <w:link w:val="Heading3"/>
    <w:uiPriority w:val="19"/>
    <w:rsid w:val="00F223FE"/>
    <w:rPr>
      <w:rFonts w:asciiTheme="majorHAnsi" w:eastAsiaTheme="majorEastAsia" w:hAnsiTheme="majorHAnsi" w:cstheme="majorBidi"/>
      <w:bCs/>
    </w:rPr>
  </w:style>
  <w:style w:type="character" w:customStyle="1" w:styleId="Heading5Char">
    <w:name w:val="Heading 5 Char"/>
    <w:basedOn w:val="DefaultParagraphFont"/>
    <w:link w:val="Heading5"/>
    <w:uiPriority w:val="19"/>
    <w:rsid w:val="00F223FE"/>
  </w:style>
  <w:style w:type="character" w:customStyle="1" w:styleId="Heading4Char">
    <w:name w:val="Heading 4 Char"/>
    <w:basedOn w:val="DefaultParagraphFont"/>
    <w:link w:val="Heading4"/>
    <w:uiPriority w:val="19"/>
    <w:rsid w:val="00F223FE"/>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qFormat/>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ListParagraph">
    <w:name w:val="List Paragraph"/>
    <w:basedOn w:val="Normal"/>
    <w:uiPriority w:val="39"/>
    <w:qFormat/>
    <w:rsid w:val="003D21E7"/>
    <w:pPr>
      <w:ind w:left="720"/>
      <w:contextualSpacing/>
    </w:pPr>
  </w:style>
  <w:style w:type="paragraph" w:styleId="FootnoteText">
    <w:name w:val="footnote text"/>
    <w:basedOn w:val="Normal"/>
    <w:link w:val="FootnoteTextChar"/>
    <w:uiPriority w:val="99"/>
    <w:semiHidden/>
    <w:unhideWhenUsed/>
    <w:rsid w:val="00E54CEA"/>
    <w:rPr>
      <w:sz w:val="20"/>
      <w:szCs w:val="20"/>
    </w:rPr>
  </w:style>
  <w:style w:type="character" w:customStyle="1" w:styleId="FootnoteTextChar">
    <w:name w:val="Footnote Text Char"/>
    <w:basedOn w:val="DefaultParagraphFont"/>
    <w:link w:val="FootnoteText"/>
    <w:uiPriority w:val="99"/>
    <w:semiHidden/>
    <w:rsid w:val="00E54CEA"/>
    <w:rPr>
      <w:sz w:val="20"/>
      <w:szCs w:val="20"/>
    </w:rPr>
  </w:style>
  <w:style w:type="character" w:styleId="FootnoteReference">
    <w:name w:val="footnote reference"/>
    <w:basedOn w:val="DefaultParagraphFont"/>
    <w:unhideWhenUsed/>
    <w:rsid w:val="00E54CEA"/>
    <w:rPr>
      <w:vertAlign w:val="superscript"/>
    </w:rPr>
  </w:style>
  <w:style w:type="character" w:styleId="Hyperlink">
    <w:name w:val="Hyperlink"/>
    <w:basedOn w:val="DefaultParagraphFont"/>
    <w:uiPriority w:val="99"/>
    <w:unhideWhenUsed/>
    <w:rsid w:val="00EA49DE"/>
    <w:rPr>
      <w:color w:val="0000FF" w:themeColor="hyperlink"/>
      <w:u w:val="single"/>
    </w:rPr>
  </w:style>
  <w:style w:type="character" w:customStyle="1" w:styleId="UnresolvedMention">
    <w:name w:val="Unresolved Mention"/>
    <w:basedOn w:val="DefaultParagraphFont"/>
    <w:uiPriority w:val="99"/>
    <w:semiHidden/>
    <w:unhideWhenUsed/>
    <w:rsid w:val="00EA49DE"/>
    <w:rPr>
      <w:color w:val="605E5C"/>
      <w:shd w:val="clear" w:color="auto" w:fill="E1DFDD"/>
    </w:rPr>
  </w:style>
  <w:style w:type="character" w:styleId="Emphasis">
    <w:name w:val="Emphasis"/>
    <w:basedOn w:val="DefaultParagraphFont"/>
    <w:uiPriority w:val="20"/>
    <w:qFormat/>
    <w:rsid w:val="004130C6"/>
    <w:rPr>
      <w:i/>
      <w:iCs/>
    </w:rPr>
  </w:style>
  <w:style w:type="paragraph" w:styleId="CommentText">
    <w:name w:val="annotation text"/>
    <w:basedOn w:val="Normal"/>
    <w:link w:val="CommentTextChar"/>
    <w:uiPriority w:val="99"/>
    <w:semiHidden/>
    <w:unhideWhenUsed/>
    <w:rsid w:val="004130C6"/>
    <w:pPr>
      <w:spacing w:after="160"/>
    </w:pPr>
    <w:rPr>
      <w:rFonts w:cs="Times New Roman"/>
      <w:color w:val="auto"/>
      <w:sz w:val="20"/>
      <w:szCs w:val="20"/>
    </w:rPr>
  </w:style>
  <w:style w:type="character" w:customStyle="1" w:styleId="CommentTextChar">
    <w:name w:val="Comment Text Char"/>
    <w:basedOn w:val="DefaultParagraphFont"/>
    <w:link w:val="CommentText"/>
    <w:uiPriority w:val="99"/>
    <w:semiHidden/>
    <w:rsid w:val="004130C6"/>
    <w:rPr>
      <w:rFonts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734FC1"/>
    <w:pPr>
      <w:spacing w:after="0"/>
    </w:pPr>
    <w:rPr>
      <w:rFonts w:cstheme="minorBidi"/>
      <w:b/>
      <w:bCs/>
      <w:color w:val="000000" w:themeColor="text1"/>
    </w:rPr>
  </w:style>
  <w:style w:type="character" w:customStyle="1" w:styleId="CommentSubjectChar">
    <w:name w:val="Comment Subject Char"/>
    <w:basedOn w:val="CommentTextChar"/>
    <w:link w:val="CommentSubject"/>
    <w:uiPriority w:val="99"/>
    <w:semiHidden/>
    <w:rsid w:val="00734FC1"/>
    <w:rPr>
      <w:rFonts w:cs="Times New Roman"/>
      <w:b/>
      <w:bCs/>
      <w:color w:val="auto"/>
      <w:sz w:val="20"/>
      <w:szCs w:val="20"/>
    </w:rPr>
  </w:style>
  <w:style w:type="paragraph" w:customStyle="1" w:styleId="Parties">
    <w:name w:val="Parties"/>
    <w:basedOn w:val="Normal"/>
    <w:rsid w:val="009C45FA"/>
    <w:pPr>
      <w:spacing w:after="240" w:line="240" w:lineRule="exact"/>
      <w:ind w:left="1440"/>
      <w:contextualSpacing/>
    </w:pPr>
    <w:rPr>
      <w:rFonts w:eastAsia="Calibri" w:cs="Times New Roman"/>
      <w:color w:val="000000"/>
    </w:rPr>
  </w:style>
  <w:style w:type="paragraph" w:customStyle="1" w:styleId="CaptionTitle">
    <w:name w:val="Caption Title"/>
    <w:basedOn w:val="Normal"/>
    <w:rsid w:val="009C45FA"/>
    <w:pPr>
      <w:spacing w:after="240"/>
      <w:contextualSpacing/>
      <w:jc w:val="center"/>
    </w:pPr>
    <w:rPr>
      <w:rFonts w:eastAsia="Calibri" w:cs="Times New Roman"/>
      <w:b/>
      <w:caps/>
      <w:color w:val="000000"/>
    </w:rPr>
  </w:style>
  <w:style w:type="paragraph" w:customStyle="1" w:styleId="pleadingtls9">
    <w:name w:val="pleadingtls_9"/>
    <w:basedOn w:val="Normal"/>
    <w:next w:val="Normal"/>
    <w:link w:val="pleadingtls9Char"/>
    <w:rsid w:val="00C701F4"/>
    <w:pPr>
      <w:keepNext/>
      <w:keepLines/>
      <w:widowControl w:val="0"/>
      <w:numPr>
        <w:ilvl w:val="8"/>
        <w:numId w:val="24"/>
      </w:numPr>
      <w:spacing w:after="240"/>
      <w:outlineLvl w:val="8"/>
    </w:pPr>
    <w:rPr>
      <w:rFonts w:asciiTheme="minorHAnsi" w:hAnsiTheme="minorHAnsi" w:cstheme="minorHAnsi"/>
      <w:b/>
      <w:bCs/>
      <w:color w:val="auto"/>
    </w:rPr>
  </w:style>
  <w:style w:type="character" w:customStyle="1" w:styleId="pleadingtls9Char">
    <w:name w:val="pleadingtls_9 Char"/>
    <w:basedOn w:val="DefaultParagraphFont"/>
    <w:link w:val="pleadingtls9"/>
    <w:rsid w:val="00C701F4"/>
    <w:rPr>
      <w:rFonts w:asciiTheme="minorHAnsi" w:hAnsiTheme="minorHAnsi" w:cstheme="minorHAnsi"/>
      <w:b/>
      <w:bCs/>
      <w:color w:val="auto"/>
    </w:rPr>
  </w:style>
  <w:style w:type="paragraph" w:customStyle="1" w:styleId="pleadingtls8">
    <w:name w:val="pleadingtls_8"/>
    <w:basedOn w:val="Normal"/>
    <w:next w:val="Normal"/>
    <w:link w:val="pleadingtls8Char"/>
    <w:rsid w:val="00C701F4"/>
    <w:pPr>
      <w:keepNext/>
      <w:keepLines/>
      <w:widowControl w:val="0"/>
      <w:numPr>
        <w:ilvl w:val="7"/>
        <w:numId w:val="24"/>
      </w:numPr>
      <w:spacing w:after="240"/>
      <w:outlineLvl w:val="7"/>
    </w:pPr>
    <w:rPr>
      <w:rFonts w:asciiTheme="minorHAnsi" w:hAnsiTheme="minorHAnsi" w:cstheme="minorHAnsi"/>
      <w:b/>
      <w:bCs/>
      <w:color w:val="auto"/>
    </w:rPr>
  </w:style>
  <w:style w:type="character" w:customStyle="1" w:styleId="pleadingtls8Char">
    <w:name w:val="pleadingtls_8 Char"/>
    <w:basedOn w:val="DefaultParagraphFont"/>
    <w:link w:val="pleadingtls8"/>
    <w:rsid w:val="00C701F4"/>
    <w:rPr>
      <w:rFonts w:asciiTheme="minorHAnsi" w:hAnsiTheme="minorHAnsi" w:cstheme="minorHAnsi"/>
      <w:b/>
      <w:bCs/>
      <w:color w:val="auto"/>
    </w:rPr>
  </w:style>
  <w:style w:type="paragraph" w:customStyle="1" w:styleId="pleadingtls7">
    <w:name w:val="pleadingtls_7"/>
    <w:basedOn w:val="Normal"/>
    <w:next w:val="Normal"/>
    <w:link w:val="pleadingtls7Char"/>
    <w:rsid w:val="00C701F4"/>
    <w:pPr>
      <w:keepNext/>
      <w:keepLines/>
      <w:widowControl w:val="0"/>
      <w:numPr>
        <w:ilvl w:val="6"/>
        <w:numId w:val="24"/>
      </w:numPr>
      <w:spacing w:after="240"/>
      <w:outlineLvl w:val="6"/>
    </w:pPr>
    <w:rPr>
      <w:rFonts w:asciiTheme="minorHAnsi" w:hAnsiTheme="minorHAnsi" w:cstheme="minorHAnsi"/>
      <w:b/>
      <w:bCs/>
      <w:color w:val="auto"/>
    </w:rPr>
  </w:style>
  <w:style w:type="character" w:customStyle="1" w:styleId="pleadingtls7Char">
    <w:name w:val="pleadingtls_7 Char"/>
    <w:basedOn w:val="DefaultParagraphFont"/>
    <w:link w:val="pleadingtls7"/>
    <w:rsid w:val="00C701F4"/>
    <w:rPr>
      <w:rFonts w:asciiTheme="minorHAnsi" w:hAnsiTheme="minorHAnsi" w:cstheme="minorHAnsi"/>
      <w:b/>
      <w:bCs/>
      <w:color w:val="auto"/>
    </w:rPr>
  </w:style>
  <w:style w:type="paragraph" w:customStyle="1" w:styleId="pleadingtls6">
    <w:name w:val="pleadingtls_6"/>
    <w:basedOn w:val="Normal"/>
    <w:next w:val="Normal"/>
    <w:link w:val="pleadingtls6Char"/>
    <w:rsid w:val="00C701F4"/>
    <w:pPr>
      <w:keepNext/>
      <w:keepLines/>
      <w:widowControl w:val="0"/>
      <w:numPr>
        <w:ilvl w:val="5"/>
        <w:numId w:val="24"/>
      </w:numPr>
      <w:spacing w:after="240"/>
      <w:outlineLvl w:val="5"/>
    </w:pPr>
    <w:rPr>
      <w:rFonts w:asciiTheme="minorHAnsi" w:hAnsiTheme="minorHAnsi" w:cstheme="minorHAnsi"/>
      <w:b/>
      <w:bCs/>
      <w:color w:val="auto"/>
    </w:rPr>
  </w:style>
  <w:style w:type="character" w:customStyle="1" w:styleId="pleadingtls6Char">
    <w:name w:val="pleadingtls_6 Char"/>
    <w:basedOn w:val="DefaultParagraphFont"/>
    <w:link w:val="pleadingtls6"/>
    <w:rsid w:val="00C701F4"/>
    <w:rPr>
      <w:rFonts w:asciiTheme="minorHAnsi" w:hAnsiTheme="minorHAnsi" w:cstheme="minorHAnsi"/>
      <w:b/>
      <w:bCs/>
      <w:color w:val="auto"/>
    </w:rPr>
  </w:style>
  <w:style w:type="paragraph" w:customStyle="1" w:styleId="pleadingtls5">
    <w:name w:val="pleadingtls_5"/>
    <w:basedOn w:val="Normal"/>
    <w:next w:val="Normal"/>
    <w:link w:val="pleadingtls5Char"/>
    <w:rsid w:val="00C701F4"/>
    <w:pPr>
      <w:keepNext/>
      <w:keepLines/>
      <w:widowControl w:val="0"/>
      <w:numPr>
        <w:ilvl w:val="4"/>
        <w:numId w:val="24"/>
      </w:numPr>
      <w:spacing w:after="240"/>
      <w:outlineLvl w:val="4"/>
    </w:pPr>
    <w:rPr>
      <w:rFonts w:asciiTheme="minorHAnsi" w:hAnsiTheme="minorHAnsi" w:cstheme="minorHAnsi"/>
      <w:b/>
      <w:bCs/>
      <w:color w:val="auto"/>
    </w:rPr>
  </w:style>
  <w:style w:type="character" w:customStyle="1" w:styleId="pleadingtls5Char">
    <w:name w:val="pleadingtls_5 Char"/>
    <w:basedOn w:val="DefaultParagraphFont"/>
    <w:link w:val="pleadingtls5"/>
    <w:rsid w:val="00C701F4"/>
    <w:rPr>
      <w:rFonts w:asciiTheme="minorHAnsi" w:hAnsiTheme="minorHAnsi" w:cstheme="minorHAnsi"/>
      <w:b/>
      <w:bCs/>
      <w:color w:val="auto"/>
    </w:rPr>
  </w:style>
  <w:style w:type="paragraph" w:customStyle="1" w:styleId="pleadingtls4">
    <w:name w:val="pleadingtls_4"/>
    <w:basedOn w:val="Normal"/>
    <w:next w:val="Normal"/>
    <w:link w:val="pleadingtls4Char"/>
    <w:rsid w:val="00C701F4"/>
    <w:pPr>
      <w:keepNext/>
      <w:keepLines/>
      <w:widowControl w:val="0"/>
      <w:numPr>
        <w:ilvl w:val="3"/>
        <w:numId w:val="24"/>
      </w:numPr>
      <w:spacing w:after="240"/>
      <w:outlineLvl w:val="3"/>
    </w:pPr>
    <w:rPr>
      <w:rFonts w:asciiTheme="minorHAnsi" w:hAnsiTheme="minorHAnsi" w:cstheme="minorHAnsi"/>
      <w:b/>
      <w:bCs/>
      <w:color w:val="auto"/>
    </w:rPr>
  </w:style>
  <w:style w:type="character" w:customStyle="1" w:styleId="pleadingtls4Char">
    <w:name w:val="pleadingtls_4 Char"/>
    <w:basedOn w:val="DefaultParagraphFont"/>
    <w:link w:val="pleadingtls4"/>
    <w:rsid w:val="00C701F4"/>
    <w:rPr>
      <w:rFonts w:asciiTheme="minorHAnsi" w:hAnsiTheme="minorHAnsi" w:cstheme="minorHAnsi"/>
      <w:b/>
      <w:bCs/>
      <w:color w:val="auto"/>
    </w:rPr>
  </w:style>
  <w:style w:type="paragraph" w:customStyle="1" w:styleId="pleadingtls3">
    <w:name w:val="pleadingtls_3"/>
    <w:basedOn w:val="Normal"/>
    <w:next w:val="Normal"/>
    <w:link w:val="pleadingtls3Char"/>
    <w:rsid w:val="00C701F4"/>
    <w:pPr>
      <w:keepNext/>
      <w:keepLines/>
      <w:widowControl w:val="0"/>
      <w:numPr>
        <w:ilvl w:val="2"/>
        <w:numId w:val="24"/>
      </w:numPr>
      <w:spacing w:after="240"/>
      <w:outlineLvl w:val="2"/>
    </w:pPr>
    <w:rPr>
      <w:rFonts w:asciiTheme="minorHAnsi" w:hAnsiTheme="minorHAnsi" w:cstheme="minorHAnsi"/>
      <w:b/>
      <w:bCs/>
      <w:color w:val="auto"/>
    </w:rPr>
  </w:style>
  <w:style w:type="character" w:customStyle="1" w:styleId="pleadingtls3Char">
    <w:name w:val="pleadingtls_3 Char"/>
    <w:basedOn w:val="DefaultParagraphFont"/>
    <w:link w:val="pleadingtls3"/>
    <w:rsid w:val="00C701F4"/>
    <w:rPr>
      <w:rFonts w:asciiTheme="minorHAnsi" w:hAnsiTheme="minorHAnsi" w:cstheme="minorHAnsi"/>
      <w:b/>
      <w:bCs/>
      <w:color w:val="auto"/>
    </w:rPr>
  </w:style>
  <w:style w:type="paragraph" w:customStyle="1" w:styleId="pleadingtls2">
    <w:name w:val="pleadingtls_2"/>
    <w:basedOn w:val="Normal"/>
    <w:next w:val="Normal"/>
    <w:link w:val="pleadingtls2Char"/>
    <w:rsid w:val="00C701F4"/>
    <w:pPr>
      <w:keepNext/>
      <w:keepLines/>
      <w:widowControl w:val="0"/>
      <w:numPr>
        <w:ilvl w:val="1"/>
        <w:numId w:val="24"/>
      </w:numPr>
      <w:spacing w:after="240"/>
      <w:outlineLvl w:val="1"/>
    </w:pPr>
    <w:rPr>
      <w:rFonts w:asciiTheme="minorHAnsi" w:hAnsiTheme="minorHAnsi" w:cstheme="minorHAnsi"/>
      <w:b/>
      <w:bCs/>
      <w:color w:val="auto"/>
    </w:rPr>
  </w:style>
  <w:style w:type="character" w:customStyle="1" w:styleId="pleadingtls2Char">
    <w:name w:val="pleadingtls_2 Char"/>
    <w:basedOn w:val="DefaultParagraphFont"/>
    <w:link w:val="pleadingtls2"/>
    <w:rsid w:val="00C701F4"/>
    <w:rPr>
      <w:rFonts w:asciiTheme="minorHAnsi" w:hAnsiTheme="minorHAnsi" w:cstheme="minorHAnsi"/>
      <w:b/>
      <w:bCs/>
      <w:color w:val="auto"/>
    </w:rPr>
  </w:style>
  <w:style w:type="paragraph" w:customStyle="1" w:styleId="pleadingtls1">
    <w:name w:val="pleadingtls_1"/>
    <w:basedOn w:val="Normal"/>
    <w:next w:val="Normal"/>
    <w:link w:val="pleadingtls1Char"/>
    <w:rsid w:val="00C701F4"/>
    <w:pPr>
      <w:keepNext/>
      <w:keepLines/>
      <w:widowControl w:val="0"/>
      <w:numPr>
        <w:numId w:val="24"/>
      </w:numPr>
      <w:spacing w:after="240"/>
      <w:jc w:val="center"/>
      <w:outlineLvl w:val="0"/>
    </w:pPr>
    <w:rPr>
      <w:rFonts w:asciiTheme="minorHAnsi" w:hAnsiTheme="minorHAnsi" w:cstheme="minorHAnsi"/>
      <w:b/>
      <w:bCs/>
      <w:caps/>
      <w:color w:val="auto"/>
    </w:rPr>
  </w:style>
  <w:style w:type="character" w:customStyle="1" w:styleId="pleadingtls1Char">
    <w:name w:val="pleadingtls_1 Char"/>
    <w:basedOn w:val="DefaultParagraphFont"/>
    <w:link w:val="pleadingtls1"/>
    <w:rsid w:val="00C701F4"/>
    <w:rPr>
      <w:rFonts w:asciiTheme="minorHAnsi" w:hAnsiTheme="minorHAnsi" w:cstheme="minorHAnsi"/>
      <w:b/>
      <w:bCs/>
      <w:caps/>
      <w:color w:val="auto"/>
    </w:rPr>
  </w:style>
  <w:style w:type="paragraph" w:styleId="TOC1">
    <w:name w:val="toc 1"/>
    <w:basedOn w:val="Normal"/>
    <w:next w:val="Normal"/>
    <w:autoRedefine/>
    <w:uiPriority w:val="39"/>
    <w:unhideWhenUsed/>
    <w:rsid w:val="00626524"/>
    <w:pPr>
      <w:spacing w:after="100"/>
    </w:pPr>
  </w:style>
  <w:style w:type="paragraph" w:styleId="TOC2">
    <w:name w:val="toc 2"/>
    <w:basedOn w:val="Normal"/>
    <w:next w:val="Normal"/>
    <w:autoRedefine/>
    <w:uiPriority w:val="39"/>
    <w:unhideWhenUsed/>
    <w:rsid w:val="00173A43"/>
    <w:pPr>
      <w:tabs>
        <w:tab w:val="left" w:leader="dot" w:pos="720"/>
        <w:tab w:val="left" w:pos="1440"/>
        <w:tab w:val="right" w:leader="dot" w:pos="9350"/>
      </w:tabs>
      <w:spacing w:after="100"/>
      <w:ind w:left="720" w:hanging="720"/>
    </w:pPr>
  </w:style>
  <w:style w:type="paragraph" w:styleId="TOC3">
    <w:name w:val="toc 3"/>
    <w:basedOn w:val="Normal"/>
    <w:next w:val="Normal"/>
    <w:autoRedefine/>
    <w:uiPriority w:val="39"/>
    <w:unhideWhenUsed/>
    <w:rsid w:val="0063724B"/>
    <w:pPr>
      <w:tabs>
        <w:tab w:val="right" w:leader="dot" w:pos="9350"/>
      </w:tabs>
      <w:spacing w:after="100"/>
      <w:ind w:left="1440" w:hanging="720"/>
    </w:pPr>
  </w:style>
  <w:style w:type="paragraph" w:styleId="TOC4">
    <w:name w:val="toc 4"/>
    <w:basedOn w:val="Normal"/>
    <w:next w:val="Normal"/>
    <w:autoRedefine/>
    <w:uiPriority w:val="39"/>
    <w:unhideWhenUsed/>
    <w:rsid w:val="00037371"/>
    <w:pPr>
      <w:tabs>
        <w:tab w:val="left" w:leader="dot" w:pos="1440"/>
        <w:tab w:val="left" w:pos="2160"/>
        <w:tab w:val="right" w:leader="dot" w:pos="9350"/>
      </w:tabs>
      <w:spacing w:after="100"/>
      <w:ind w:left="2160" w:hanging="720"/>
    </w:pPr>
  </w:style>
  <w:style w:type="paragraph" w:styleId="TOC5">
    <w:name w:val="toc 5"/>
    <w:basedOn w:val="Normal"/>
    <w:next w:val="Normal"/>
    <w:autoRedefine/>
    <w:uiPriority w:val="39"/>
    <w:unhideWhenUsed/>
    <w:rsid w:val="0063724B"/>
    <w:pPr>
      <w:tabs>
        <w:tab w:val="left" w:leader="dot" w:pos="1440"/>
        <w:tab w:val="left" w:pos="2880"/>
        <w:tab w:val="right" w:leader="dot" w:pos="9350"/>
      </w:tabs>
      <w:spacing w:after="100"/>
      <w:ind w:left="2880" w:hanging="720"/>
    </w:pPr>
  </w:style>
  <w:style w:type="paragraph" w:styleId="TOC6">
    <w:name w:val="toc 6"/>
    <w:basedOn w:val="Normal"/>
    <w:next w:val="Normal"/>
    <w:autoRedefine/>
    <w:uiPriority w:val="39"/>
    <w:unhideWhenUsed/>
    <w:rsid w:val="0063724B"/>
    <w:pPr>
      <w:tabs>
        <w:tab w:val="left" w:pos="2880"/>
        <w:tab w:val="right" w:leader="dot" w:pos="9350"/>
      </w:tabs>
      <w:spacing w:after="100"/>
      <w:ind w:left="4320" w:hanging="720"/>
    </w:pPr>
  </w:style>
  <w:style w:type="paragraph" w:styleId="TOC7">
    <w:name w:val="toc 7"/>
    <w:basedOn w:val="Normal"/>
    <w:next w:val="Normal"/>
    <w:autoRedefine/>
    <w:uiPriority w:val="39"/>
    <w:semiHidden/>
    <w:unhideWhenUsed/>
    <w:rsid w:val="00626524"/>
    <w:pPr>
      <w:spacing w:after="100"/>
      <w:ind w:left="1440"/>
    </w:pPr>
  </w:style>
  <w:style w:type="paragraph" w:styleId="TOC8">
    <w:name w:val="toc 8"/>
    <w:basedOn w:val="Normal"/>
    <w:next w:val="Normal"/>
    <w:autoRedefine/>
    <w:uiPriority w:val="39"/>
    <w:semiHidden/>
    <w:unhideWhenUsed/>
    <w:rsid w:val="00626524"/>
    <w:pPr>
      <w:spacing w:after="100"/>
      <w:ind w:left="1680"/>
    </w:pPr>
  </w:style>
  <w:style w:type="paragraph" w:styleId="TOC9">
    <w:name w:val="toc 9"/>
    <w:basedOn w:val="Normal"/>
    <w:next w:val="Normal"/>
    <w:autoRedefine/>
    <w:uiPriority w:val="39"/>
    <w:semiHidden/>
    <w:unhideWhenUsed/>
    <w:rsid w:val="00626524"/>
    <w:pPr>
      <w:spacing w:after="100"/>
      <w:ind w:left="1920"/>
    </w:pPr>
  </w:style>
  <w:style w:type="paragraph" w:customStyle="1" w:styleId="BATOAEntry">
    <w:name w:val="BA TOA Entry"/>
    <w:link w:val="BATOAEntryChar"/>
    <w:qFormat/>
    <w:rsid w:val="00020F15"/>
    <w:pPr>
      <w:keepLines/>
      <w:tabs>
        <w:tab w:val="right" w:leader="dot" w:pos="9360"/>
      </w:tabs>
      <w:spacing w:after="240"/>
      <w:ind w:left="360" w:right="1440" w:hanging="360"/>
    </w:pPr>
    <w:rPr>
      <w:rFonts w:eastAsiaTheme="minorEastAsia"/>
      <w:color w:val="auto"/>
      <w:szCs w:val="22"/>
    </w:rPr>
  </w:style>
  <w:style w:type="character" w:customStyle="1" w:styleId="BATOAEntryChar">
    <w:name w:val="BA TOA Entry Char"/>
    <w:basedOn w:val="DefaultParagraphFont"/>
    <w:link w:val="BATOAEntry"/>
    <w:rsid w:val="00020F15"/>
    <w:rPr>
      <w:rFonts w:eastAsiaTheme="minorEastAsia"/>
      <w:color w:val="auto"/>
      <w:szCs w:val="22"/>
    </w:rPr>
  </w:style>
  <w:style w:type="paragraph" w:customStyle="1" w:styleId="BATOATitle">
    <w:name w:val="BA TOA Title"/>
    <w:basedOn w:val="BATOAEntry"/>
    <w:link w:val="BATOATitleChar"/>
    <w:qFormat/>
    <w:rsid w:val="00020F15"/>
    <w:pPr>
      <w:keepNext/>
      <w:ind w:right="0"/>
      <w:jc w:val="center"/>
    </w:pPr>
    <w:rPr>
      <w:b/>
      <w:caps/>
      <w:u w:val="single"/>
    </w:rPr>
  </w:style>
  <w:style w:type="character" w:customStyle="1" w:styleId="BATOATitleChar">
    <w:name w:val="BA TOA Title Char"/>
    <w:basedOn w:val="DefaultParagraphFont"/>
    <w:link w:val="BATOATitle"/>
    <w:rsid w:val="00020F15"/>
    <w:rPr>
      <w:rFonts w:eastAsiaTheme="minorEastAsia"/>
      <w:b/>
      <w:caps/>
      <w:color w:val="auto"/>
      <w:szCs w:val="22"/>
      <w:u w:val="single"/>
    </w:rPr>
  </w:style>
  <w:style w:type="paragraph" w:customStyle="1" w:styleId="BATOAPageHeading">
    <w:name w:val="BA TOA Page Heading"/>
    <w:basedOn w:val="BATOAEntry"/>
    <w:link w:val="BATOAPageHeadingChar"/>
    <w:qFormat/>
    <w:rsid w:val="00020F15"/>
    <w:pPr>
      <w:keepNext/>
      <w:tabs>
        <w:tab w:val="right" w:pos="9360"/>
      </w:tabs>
      <w:ind w:right="0"/>
      <w:jc w:val="right"/>
    </w:pPr>
    <w:rPr>
      <w:b/>
    </w:rPr>
  </w:style>
  <w:style w:type="character" w:customStyle="1" w:styleId="BATOAPageHeadingChar">
    <w:name w:val="BA TOA Page Heading Char"/>
    <w:basedOn w:val="DefaultParagraphFont"/>
    <w:link w:val="BATOAPageHeading"/>
    <w:rsid w:val="00020F15"/>
    <w:rPr>
      <w:rFonts w:eastAsiaTheme="minorEastAsia"/>
      <w:b/>
      <w:color w:val="auto"/>
      <w:szCs w:val="22"/>
    </w:rPr>
  </w:style>
  <w:style w:type="paragraph" w:customStyle="1" w:styleId="BATOAHeading">
    <w:name w:val="BA TOA Heading"/>
    <w:basedOn w:val="BATOAEntry"/>
    <w:link w:val="BATOAHeadingChar"/>
    <w:qFormat/>
    <w:rsid w:val="00020F15"/>
    <w:pPr>
      <w:keepNext/>
      <w:ind w:right="0"/>
    </w:pPr>
    <w:rPr>
      <w:b/>
    </w:rPr>
  </w:style>
  <w:style w:type="character" w:customStyle="1" w:styleId="BATOAHeadingChar">
    <w:name w:val="BA TOA Heading Char"/>
    <w:basedOn w:val="DefaultParagraphFont"/>
    <w:link w:val="BATOAHeading"/>
    <w:rsid w:val="00020F15"/>
    <w:rPr>
      <w:rFonts w:eastAsiaTheme="minorEastAsia"/>
      <w:b/>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7262">
      <w:bodyDiv w:val="1"/>
      <w:marLeft w:val="0"/>
      <w:marRight w:val="0"/>
      <w:marTop w:val="0"/>
      <w:marBottom w:val="0"/>
      <w:divBdr>
        <w:top w:val="none" w:sz="0" w:space="0" w:color="auto"/>
        <w:left w:val="none" w:sz="0" w:space="0" w:color="auto"/>
        <w:bottom w:val="none" w:sz="0" w:space="0" w:color="auto"/>
        <w:right w:val="none" w:sz="0" w:space="0" w:color="auto"/>
      </w:divBdr>
    </w:div>
    <w:div w:id="1559513301">
      <w:bodyDiv w:val="1"/>
      <w:marLeft w:val="0"/>
      <w:marRight w:val="0"/>
      <w:marTop w:val="0"/>
      <w:marBottom w:val="0"/>
      <w:divBdr>
        <w:top w:val="none" w:sz="0" w:space="0" w:color="auto"/>
        <w:left w:val="none" w:sz="0" w:space="0" w:color="auto"/>
        <w:bottom w:val="none" w:sz="0" w:space="0" w:color="auto"/>
        <w:right w:val="none" w:sz="0" w:space="0" w:color="auto"/>
      </w:divBdr>
    </w:div>
    <w:div w:id="1624654674">
      <w:bodyDiv w:val="1"/>
      <w:marLeft w:val="0"/>
      <w:marRight w:val="0"/>
      <w:marTop w:val="0"/>
      <w:marBottom w:val="0"/>
      <w:divBdr>
        <w:top w:val="none" w:sz="0" w:space="0" w:color="auto"/>
        <w:left w:val="none" w:sz="0" w:space="0" w:color="auto"/>
        <w:bottom w:val="none" w:sz="0" w:space="0" w:color="auto"/>
        <w:right w:val="none" w:sz="0" w:space="0" w:color="auto"/>
      </w:divBdr>
    </w:div>
    <w:div w:id="1683166514">
      <w:bodyDiv w:val="1"/>
      <w:marLeft w:val="0"/>
      <w:marRight w:val="0"/>
      <w:marTop w:val="0"/>
      <w:marBottom w:val="0"/>
      <w:divBdr>
        <w:top w:val="none" w:sz="0" w:space="0" w:color="auto"/>
        <w:left w:val="none" w:sz="0" w:space="0" w:color="auto"/>
        <w:bottom w:val="none" w:sz="0" w:space="0" w:color="auto"/>
        <w:right w:val="none" w:sz="0" w:space="0" w:color="auto"/>
      </w:divBdr>
    </w:div>
    <w:div w:id="1835027071">
      <w:bodyDiv w:val="1"/>
      <w:marLeft w:val="0"/>
      <w:marRight w:val="0"/>
      <w:marTop w:val="0"/>
      <w:marBottom w:val="0"/>
      <w:divBdr>
        <w:top w:val="none" w:sz="0" w:space="0" w:color="auto"/>
        <w:left w:val="none" w:sz="0" w:space="0" w:color="auto"/>
        <w:bottom w:val="none" w:sz="0" w:space="0" w:color="auto"/>
        <w:right w:val="none" w:sz="0" w:space="0" w:color="auto"/>
      </w:divBdr>
    </w:div>
    <w:div w:id="19401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oese.ed.gov/files/2021/06/Revised-ARP-ESSER-Methodology-and-Allocation-Table_6.25.21_FINAL.pdf" TargetMode="External"/><Relationship Id="rId1" Type="http://schemas.openxmlformats.org/officeDocument/2006/relationships/hyperlink" Target="https://www.texastribune.org/2021/09/03/texas-covid-school-districts-shut-dow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1AB54A3B314EB788BA79E518114453"/>
        <w:category>
          <w:name w:val="General"/>
          <w:gallery w:val="placeholder"/>
        </w:category>
        <w:types>
          <w:type w:val="bbPlcHdr"/>
        </w:types>
        <w:behaviors>
          <w:behavior w:val="content"/>
        </w:behaviors>
        <w:guid w:val="{B96129E6-8015-434D-BFCD-BD7D6AEE5C68}"/>
      </w:docPartPr>
      <w:docPartBody>
        <w:p w:rsidR="00910F6F" w:rsidRDefault="00C542BE" w:rsidP="00C542BE">
          <w:pPr>
            <w:pStyle w:val="281AB54A3B314EB788BA79E518114453"/>
          </w:pPr>
          <w:r>
            <w:rPr>
              <w:color w:val="808080" w:themeColor="background1" w:themeShade="80"/>
            </w:rPr>
            <w:t>Select Plaintiff Type</w:t>
          </w:r>
        </w:p>
      </w:docPartBody>
    </w:docPart>
    <w:docPart>
      <w:docPartPr>
        <w:name w:val="9EDBFB6BACA041B1A49F5EE1DA02130A"/>
        <w:category>
          <w:name w:val="General"/>
          <w:gallery w:val="placeholder"/>
        </w:category>
        <w:types>
          <w:type w:val="bbPlcHdr"/>
        </w:types>
        <w:behaviors>
          <w:behavior w:val="content"/>
        </w:behaviors>
        <w:guid w:val="{C0207EAE-D75E-48A6-9ADA-DB2859813BF8}"/>
      </w:docPartPr>
      <w:docPartBody>
        <w:p w:rsidR="00910F6F" w:rsidRDefault="00C542BE" w:rsidP="00C542BE">
          <w:pPr>
            <w:pStyle w:val="9EDBFB6BACA041B1A49F5EE1DA02130A"/>
          </w:pPr>
          <w:r>
            <w:rPr>
              <w:color w:val="808080" w:themeColor="background1" w:themeShade="80"/>
            </w:rPr>
            <w:t xml:space="preserve">Select </w:t>
          </w:r>
          <w:r>
            <w:rPr>
              <w:rStyle w:val="PlaceholderText"/>
              <w:color w:val="808080" w:themeColor="background1" w:themeShade="80"/>
            </w:rPr>
            <w:t>vs</w:t>
          </w:r>
          <w:r>
            <w:rPr>
              <w:rStyle w:val="PlaceholderText"/>
            </w:rPr>
            <w:t>/against</w:t>
          </w:r>
        </w:p>
      </w:docPartBody>
    </w:docPart>
    <w:docPart>
      <w:docPartPr>
        <w:name w:val="A66BAFA7F28F4E25AC8CE95D45988916"/>
        <w:category>
          <w:name w:val="General"/>
          <w:gallery w:val="placeholder"/>
        </w:category>
        <w:types>
          <w:type w:val="bbPlcHdr"/>
        </w:types>
        <w:behaviors>
          <w:behavior w:val="content"/>
        </w:behaviors>
        <w:guid w:val="{0105A5E9-BF8A-4C6E-90F5-157195F57DB1}"/>
      </w:docPartPr>
      <w:docPartBody>
        <w:p w:rsidR="00910F6F" w:rsidRDefault="00C542BE" w:rsidP="00C542BE">
          <w:pPr>
            <w:pStyle w:val="A66BAFA7F28F4E25AC8CE95D45988916"/>
          </w:pPr>
          <w:r>
            <w:rPr>
              <w:color w:val="808080" w:themeColor="background1" w:themeShade="80"/>
            </w:rPr>
            <w:t>Select Defendant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BE"/>
    <w:rsid w:val="00064E3F"/>
    <w:rsid w:val="00094BB3"/>
    <w:rsid w:val="000D7FB0"/>
    <w:rsid w:val="00105E68"/>
    <w:rsid w:val="001D0DB3"/>
    <w:rsid w:val="00482503"/>
    <w:rsid w:val="0064624D"/>
    <w:rsid w:val="00910F6F"/>
    <w:rsid w:val="00962FDD"/>
    <w:rsid w:val="00C0195A"/>
    <w:rsid w:val="00C05534"/>
    <w:rsid w:val="00C542BE"/>
    <w:rsid w:val="00D3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1AB54A3B314EB788BA79E518114453">
    <w:name w:val="281AB54A3B314EB788BA79E518114453"/>
    <w:rsid w:val="00C542BE"/>
  </w:style>
  <w:style w:type="character" w:styleId="PlaceholderText">
    <w:name w:val="Placeholder Text"/>
    <w:basedOn w:val="DefaultParagraphFont"/>
    <w:uiPriority w:val="99"/>
    <w:semiHidden/>
    <w:rsid w:val="00C542BE"/>
  </w:style>
  <w:style w:type="paragraph" w:customStyle="1" w:styleId="9EDBFB6BACA041B1A49F5EE1DA02130A">
    <w:name w:val="9EDBFB6BACA041B1A49F5EE1DA02130A"/>
    <w:rsid w:val="00C542BE"/>
  </w:style>
  <w:style w:type="paragraph" w:customStyle="1" w:styleId="A66BAFA7F28F4E25AC8CE95D45988916">
    <w:name w:val="A66BAFA7F28F4E25AC8CE95D45988916"/>
    <w:rsid w:val="00C54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26E662644894CA765EE704BEE7EC0" ma:contentTypeVersion="14" ma:contentTypeDescription="Create a new document." ma:contentTypeScope="" ma:versionID="e6fcd5a0375c871ad1eb583f77ff7716">
  <xsd:schema xmlns:xsd="http://www.w3.org/2001/XMLSchema" xmlns:xs="http://www.w3.org/2001/XMLSchema" xmlns:p="http://schemas.microsoft.com/office/2006/metadata/properties" xmlns:ns3="cb465632-0b97-4ece-b848-4084c5418b26" xmlns:ns4="c1815663-8e6f-4c0b-a980-43647073fcfc" targetNamespace="http://schemas.microsoft.com/office/2006/metadata/properties" ma:root="true" ma:fieldsID="c648854ade09b5d622d5545bbefb1f0a" ns3:_="" ns4:_="">
    <xsd:import namespace="cb465632-0b97-4ece-b848-4084c5418b26"/>
    <xsd:import namespace="c1815663-8e6f-4c0b-a980-43647073fc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5632-0b97-4ece-b848-4084c5418b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15663-8e6f-4c0b-a980-43647073fc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1D20E-3B82-4730-9E97-BEE595E1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5632-0b97-4ece-b848-4084c5418b26"/>
    <ds:schemaRef ds:uri="c1815663-8e6f-4c0b-a980-43647073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C9D59-4473-41AE-8B67-A03935852308}">
  <ds:schemaRefs>
    <ds:schemaRef ds:uri="http://schemas.microsoft.com/sharepoint/v3/contenttype/forms"/>
  </ds:schemaRefs>
</ds:datastoreItem>
</file>

<file path=customXml/itemProps3.xml><?xml version="1.0" encoding="utf-8"?>
<ds:datastoreItem xmlns:ds="http://schemas.openxmlformats.org/officeDocument/2006/customXml" ds:itemID="{5878A5CF-57E1-4FDF-9B94-6D4481B0CFAF}">
  <ds:schemaRefs>
    <ds:schemaRef ds:uri="http://purl.org/dc/terms/"/>
    <ds:schemaRef ds:uri="http://purl.org/dc/elements/1.1/"/>
    <ds:schemaRef ds:uri="http://schemas.openxmlformats.org/package/2006/metadata/core-properties"/>
    <ds:schemaRef ds:uri="http://schemas.microsoft.com/office/2006/documentManagement/types"/>
    <ds:schemaRef ds:uri="cb465632-0b97-4ece-b848-4084c5418b26"/>
    <ds:schemaRef ds:uri="c1815663-8e6f-4c0b-a980-43647073fcfc"/>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21455</Words>
  <Characters>122295</Characters>
  <Application>Microsoft Office Word</Application>
  <DocSecurity>4</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143464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Surtees</dc:creator>
  <cp:lastModifiedBy>Edie Surtees</cp:lastModifiedBy>
  <cp:revision>2</cp:revision>
  <cp:lastPrinted>1900-01-01T06:00:00Z</cp:lastPrinted>
  <dcterms:created xsi:type="dcterms:W3CDTF">2021-09-30T17:22:00Z</dcterms:created>
  <dcterms:modified xsi:type="dcterms:W3CDTF">2021-09-30T17:22:00Z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0x01010052226E662644894CA765EE704BEE7EC0</vt:lpwstr>
  </property>
</Properties>
</file>