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33" w:rsidRDefault="00F1594B">
      <w:pPr>
        <w:pStyle w:val="P68B1DB1-Heading11"/>
      </w:pPr>
      <w:r>
        <w:t>Qué esperar en una audiencia de feria de Medicaid</w:t>
      </w:r>
    </w:p>
    <w:p w:rsidR="003B4B33" w:rsidRDefault="003B4B33"/>
    <w:p w:rsidR="003B4B33" w:rsidRDefault="00F1594B">
      <w:pPr>
        <w:rPr>
          <w:rStyle w:val="Heading3Char"/>
          <w:rFonts w:asciiTheme="minorHAnsi" w:hAnsiTheme="minorHAnsi" w:cstheme="minorHAnsi"/>
          <w:color w:val="auto"/>
        </w:rPr>
      </w:pPr>
      <w:r>
        <w:rPr>
          <w:rStyle w:val="Heading2Char"/>
          <w:b/>
          <w:color w:val="auto"/>
        </w:rPr>
        <w:t>Las Reglas</w:t>
      </w:r>
      <w:r>
        <w:rPr>
          <w:rStyle w:val="Heading2Char"/>
          <w:b/>
          <w:color w:val="auto"/>
        </w:rPr>
        <w:br/>
      </w:r>
      <w:r>
        <w:rPr>
          <w:rStyle w:val="Heading3Char"/>
          <w:rFonts w:asciiTheme="minorHAnsi" w:hAnsiTheme="minorHAnsi" w:cstheme="minorHAnsi"/>
          <w:color w:val="auto"/>
        </w:rPr>
        <w:t>Los aspectos básicos</w:t>
      </w:r>
    </w:p>
    <w:p w:rsidR="003B4B33" w:rsidRDefault="00F1594B">
      <w:pPr>
        <w:pStyle w:val="P68B1DB1-Normal2"/>
      </w:pPr>
      <w:r>
        <w:t>Todas las audiencias se deben celebrar en una hora, fecha o lugar razonables. El beneficiario tiene el derecho de: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Llamar testigos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Establecer todos los hechos pertinentes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Presentar un argumento sin interferencia indebida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Cuestionar o refutar cualquier testimonio o evidencia, y confrontar e interrogar a testigo adversos</w:t>
      </w:r>
      <w:r>
        <w:tab/>
      </w:r>
      <w:bookmarkStart w:id="0" w:name="_GoBack"/>
      <w:bookmarkEnd w:id="0"/>
    </w:p>
    <w:p w:rsidR="003B4B33" w:rsidRDefault="00F1594B">
      <w:pPr>
        <w:pStyle w:val="P68B1DB1-ListParagraph3"/>
        <w:numPr>
          <w:ilvl w:val="0"/>
          <w:numId w:val="1"/>
        </w:numPr>
      </w:pPr>
      <w:r>
        <w:t>Presentar pruebas documentales antes, durante o después de la audiencia</w:t>
      </w:r>
    </w:p>
    <w:p w:rsidR="003B4B33" w:rsidRDefault="00F1594B">
      <w:pPr>
        <w:pStyle w:val="Heading2"/>
        <w:rPr>
          <w:rStyle w:val="Heading3Char"/>
          <w:b/>
          <w:color w:val="auto"/>
        </w:rPr>
      </w:pPr>
      <w:r>
        <w:rPr>
          <w:rStyle w:val="Heading3Char"/>
          <w:b/>
          <w:color w:val="auto"/>
        </w:rPr>
        <w:t>LA AUDIENCIA</w:t>
      </w:r>
    </w:p>
    <w:p w:rsidR="003B4B33" w:rsidRPr="00F1594B" w:rsidRDefault="00F1594B" w:rsidP="00F1594B">
      <w:pPr>
        <w:rPr>
          <w:rStyle w:val="Heading3Char"/>
          <w:rFonts w:asciiTheme="minorHAnsi" w:hAnsiTheme="minorHAnsi" w:cstheme="minorHAnsi"/>
          <w:color w:val="auto"/>
        </w:rPr>
      </w:pPr>
      <w:r w:rsidRPr="00F1594B">
        <w:rPr>
          <w:rStyle w:val="Heading3Char"/>
          <w:rFonts w:asciiTheme="minorHAnsi" w:hAnsiTheme="minorHAnsi" w:cstheme="minorHAnsi"/>
          <w:color w:val="auto"/>
        </w:rPr>
        <w:t xml:space="preserve">Los </w:t>
      </w:r>
      <w:proofErr w:type="spellStart"/>
      <w:r w:rsidRPr="00F1594B">
        <w:rPr>
          <w:rStyle w:val="Heading3Char"/>
          <w:rFonts w:asciiTheme="minorHAnsi" w:hAnsiTheme="minorHAnsi" w:cstheme="minorHAnsi"/>
          <w:color w:val="auto"/>
        </w:rPr>
        <w:t>aspectos</w:t>
      </w:r>
      <w:proofErr w:type="spellEnd"/>
      <w:r w:rsidRPr="00F1594B">
        <w:rPr>
          <w:rStyle w:val="Heading3Char"/>
          <w:rFonts w:asciiTheme="minorHAnsi" w:hAnsiTheme="minorHAnsi" w:cstheme="minorHAnsi"/>
          <w:color w:val="auto"/>
        </w:rPr>
        <w:t xml:space="preserve"> </w:t>
      </w:r>
      <w:proofErr w:type="spellStart"/>
      <w:r w:rsidRPr="00F1594B">
        <w:rPr>
          <w:rStyle w:val="Heading3Char"/>
          <w:rFonts w:asciiTheme="minorHAnsi" w:hAnsiTheme="minorHAnsi" w:cstheme="minorHAnsi"/>
          <w:color w:val="auto"/>
        </w:rPr>
        <w:t>básicos</w:t>
      </w:r>
      <w:proofErr w:type="spellEnd"/>
    </w:p>
    <w:p w:rsidR="003B4B33" w:rsidRDefault="00F1594B">
      <w:pPr>
        <w:pStyle w:val="P68B1DB1-Normal2"/>
      </w:pPr>
      <w:r>
        <w:t>Las audiencias son: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Informales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Por lo general, son conducidas por teléfono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El funcionario de audiencias no es un abogado o un médico profesional.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Las reglas de evidencias y procedimiento no se aplican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 xml:space="preserve">La agencia/MCO lleva la carga de la prueba (y, por lo </w:t>
      </w:r>
      <w:r>
        <w:t>tanto, presenta su evidencia primero)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El apoderado de MCO/la agencia puede comparecer</w:t>
      </w:r>
    </w:p>
    <w:p w:rsidR="003B4B33" w:rsidRDefault="00F1594B">
      <w:pPr>
        <w:rPr>
          <w:rStyle w:val="Heading3Char"/>
          <w:rFonts w:asciiTheme="minorHAnsi" w:hAnsiTheme="minorHAnsi" w:cstheme="minorHAnsi"/>
          <w:color w:val="auto"/>
        </w:rPr>
      </w:pPr>
      <w:r>
        <w:rPr>
          <w:rStyle w:val="Heading3Char"/>
          <w:rFonts w:asciiTheme="minorHAnsi" w:hAnsiTheme="minorHAnsi" w:cstheme="minorHAnsi"/>
          <w:color w:val="auto"/>
        </w:rPr>
        <w:t>Qué debe tener con usted: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Sus documentos de pruebas y los documentos de pruebas de MCO/la agencia (el paquete de audiencia justa)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Prueba de que usted presentó su evidenci</w:t>
      </w:r>
      <w:r>
        <w:t>a (por ej., confirmación por fax, correo electrónico)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La notificación de audiencia justa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Una descripción para su testimonio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Papel para tomar notas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Calendario en caso de que la audiencia se reprograme</w:t>
      </w:r>
    </w:p>
    <w:p w:rsidR="003B4B33" w:rsidRDefault="00F1594B">
      <w:pPr>
        <w:pStyle w:val="Heading3"/>
        <w:rPr>
          <w:rStyle w:val="Heading3Char"/>
          <w:rFonts w:asciiTheme="minorHAnsi" w:hAnsiTheme="minorHAnsi" w:cstheme="minorHAnsi"/>
          <w:color w:val="auto"/>
        </w:rPr>
      </w:pPr>
      <w:r>
        <w:rPr>
          <w:rStyle w:val="Heading3Char"/>
          <w:rFonts w:asciiTheme="minorHAnsi" w:hAnsiTheme="minorHAnsi" w:cstheme="minorHAnsi"/>
          <w:color w:val="auto"/>
        </w:rPr>
        <w:t>El Inicio</w:t>
      </w:r>
    </w:p>
    <w:p w:rsidR="003B4B33" w:rsidRDefault="00F1594B">
      <w:pPr>
        <w:pStyle w:val="P68B1DB1-ListParagraph4"/>
        <w:numPr>
          <w:ilvl w:val="0"/>
          <w:numId w:val="4"/>
        </w:numPr>
      </w:pPr>
      <w:r>
        <w:t>El funcionario de Audiencias empieza la audien</w:t>
      </w:r>
      <w:r>
        <w:t>cia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con introducciones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lastRenderedPageBreak/>
        <w:t>una descripción del proceso de la audiencia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Una declaración de que el fallo se basará en la política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una revisión de la evidencia/documentos de prueba que han sido presentados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y juramentación de testigos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si usted necesita que un testigo sea sacado de la orden o en un cierto momento, pregunte al principio de la audiencia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Si usted no ha recibido la evidencia /documentos de prueba que han sido presentados, notifique al funcionario de audiencias al principio de la audiencia.</w:t>
      </w:r>
    </w:p>
    <w:p w:rsidR="003B4B33" w:rsidRDefault="00F1594B">
      <w:pPr>
        <w:pStyle w:val="Heading2"/>
        <w:rPr>
          <w:rStyle w:val="Heading3Char"/>
          <w:color w:val="auto"/>
        </w:rPr>
      </w:pPr>
      <w:r>
        <w:rPr>
          <w:rStyle w:val="Heading3Char"/>
          <w:color w:val="auto"/>
        </w:rPr>
        <w:t>Testimonio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La agencia/MCO va primero, pues tiene la carga de probar que su decisión fue correcta.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Pres</w:t>
      </w:r>
      <w:r>
        <w:t>te atención al individuo que prueba el testimonio. Compruebe el paquete de evidencia para ver su participación en la decisión.</w:t>
      </w:r>
    </w:p>
    <w:p w:rsidR="003B4B33" w:rsidRDefault="00F1594B">
      <w:pPr>
        <w:pStyle w:val="P68B1DB1-ListParagraph3"/>
        <w:numPr>
          <w:ilvl w:val="2"/>
          <w:numId w:val="1"/>
        </w:numPr>
      </w:pPr>
      <w:r>
        <w:t>¿Estaban examinando al director médico que tomó la decisión?</w:t>
      </w:r>
    </w:p>
    <w:p w:rsidR="003B4B33" w:rsidRDefault="00F1594B">
      <w:pPr>
        <w:pStyle w:val="P68B1DB1-ListParagraph3"/>
        <w:numPr>
          <w:ilvl w:val="2"/>
          <w:numId w:val="1"/>
        </w:numPr>
      </w:pPr>
      <w:r>
        <w:t>¿Fue la enfermera que proporcionó la evaluación?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Esté preparado para</w:t>
      </w:r>
      <w:r>
        <w:t xml:space="preserve"> una revisión interminable de políticas posiblemente irrelevantes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Escuche nuevos motivos para denegación o reducción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Escuche sobre errores de hecho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Escuche sobre política o base legal para la denegación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Tome notas (notas de un lado, posibles preguntas de u</w:t>
      </w:r>
      <w:r>
        <w:t>n lado)</w:t>
      </w:r>
    </w:p>
    <w:p w:rsidR="003B4B33" w:rsidRDefault="00F1594B" w:rsidP="00F1594B">
      <w:pPr>
        <w:pStyle w:val="Heading3"/>
        <w:rPr>
          <w:rStyle w:val="Heading3Char"/>
          <w:color w:val="auto"/>
        </w:rPr>
      </w:pPr>
      <w:r>
        <w:rPr>
          <w:rStyle w:val="Heading3Char"/>
          <w:color w:val="auto"/>
        </w:rPr>
        <w:t>En la Audiencia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Si usted desea preguntar o "interrogar" a los representantes de MCO/la agencia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Haga preguntas importantes cada vez que sea posible</w:t>
      </w:r>
    </w:p>
    <w:p w:rsidR="003B4B33" w:rsidRDefault="00F1594B">
      <w:pPr>
        <w:pStyle w:val="P68B1DB1-ListParagraph3"/>
        <w:numPr>
          <w:ilvl w:val="2"/>
          <w:numId w:val="1"/>
        </w:numPr>
      </w:pPr>
      <w:r>
        <w:t>es decir, señale un hecho, luego siga el hecho con "¿correcto?" o "¿no es eso correcto?"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 xml:space="preserve">Pregunte al </w:t>
      </w:r>
      <w:r>
        <w:t>testigo cuál era su función en la decisión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Establezca una regla, norma, política apropiada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Repase las deficiencias en la notificación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Precise el motivo para la decisión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Ataque el motivo para la decisión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Señale errores fácticos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Use cartas de necesidad médica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Cualquier información a la que usted haga referencia debería haber sido presentada como evidencia al principio de la audiencia justa.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Lea al funcionario de audiencias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Sepa cuándo detenerse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Recuerde que el funcionario de audie</w:t>
      </w:r>
      <w:r>
        <w:t>ncia es quien le está escuchando, usted ya no está tratando de convencer a la agencia/MCO que su decisión fue errónea.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Examine directamente a sus testigos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lastRenderedPageBreak/>
        <w:t>Después de que sus testigos testifiquen, la agencia y el funcionario de audiencia puede hacerles algu</w:t>
      </w:r>
      <w:r>
        <w:t>nas preguntas. Sus testigos deberían: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ser corteses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ser honestos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estar comprometidos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saber quién es la audiencia real (el funcionario de audiencias)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responda (solo) la pregunta formulada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no tenga miedo de decir: "No sé" si no saben la respuesta (no hay espe</w:t>
      </w:r>
      <w:r>
        <w:t>culación ni se adivina), la preparación es clave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Redirija a su testigo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Argumento de cierre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Suma simple de puntos fácticos y legales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Se deberían describir antes de la audiencia</w:t>
      </w:r>
    </w:p>
    <w:p w:rsidR="003B4B33" w:rsidRDefault="00F1594B">
      <w:pPr>
        <w:pStyle w:val="P68B1DB1-ListParagraph3"/>
        <w:numPr>
          <w:ilvl w:val="1"/>
          <w:numId w:val="1"/>
        </w:numPr>
      </w:pPr>
      <w:r>
        <w:t>Añada cualquier punto útil que haya salido en la audiencia</w:t>
      </w:r>
    </w:p>
    <w:p w:rsidR="003B4B33" w:rsidRDefault="00F1594B">
      <w:pPr>
        <w:pStyle w:val="P68B1DB1-ListParagraph3"/>
        <w:numPr>
          <w:ilvl w:val="2"/>
          <w:numId w:val="1"/>
        </w:numPr>
      </w:pPr>
      <w:r>
        <w:t>Consulte sus notas</w:t>
      </w:r>
    </w:p>
    <w:p w:rsidR="003B4B33" w:rsidRDefault="00F1594B">
      <w:pPr>
        <w:pStyle w:val="Heading3"/>
        <w:rPr>
          <w:rStyle w:val="Heading3Char"/>
          <w:b/>
          <w:caps/>
          <w:color w:val="auto"/>
        </w:rPr>
      </w:pPr>
      <w:r>
        <w:rPr>
          <w:rStyle w:val="Heading3Char"/>
          <w:b/>
          <w:caps/>
          <w:color w:val="auto"/>
        </w:rPr>
        <w:t>De</w:t>
      </w:r>
      <w:r>
        <w:rPr>
          <w:rStyle w:val="Heading3Char"/>
          <w:b/>
          <w:caps/>
          <w:color w:val="auto"/>
        </w:rPr>
        <w:t>spués de la audiencia, pero antes de la decisión</w:t>
      </w:r>
    </w:p>
    <w:p w:rsidR="003B4B33" w:rsidRDefault="00F1594B">
      <w:pPr>
        <w:pStyle w:val="P68B1DB1-Normal5"/>
      </w:pPr>
      <w:r>
        <w:t>Si usted desea o necesita presentar evidencia adicional, pida que el registro se mantenga abierto.</w:t>
      </w:r>
    </w:p>
    <w:p w:rsidR="003B4B33" w:rsidRDefault="00F1594B">
      <w:pPr>
        <w:pStyle w:val="Heading3"/>
        <w:rPr>
          <w:rStyle w:val="Heading3Char"/>
          <w:b/>
          <w:caps/>
          <w:color w:val="auto"/>
        </w:rPr>
      </w:pPr>
      <w:r>
        <w:rPr>
          <w:rStyle w:val="Heading3Char"/>
          <w:b/>
          <w:caps/>
          <w:color w:val="auto"/>
        </w:rPr>
        <w:t>La decisión de la audiencia</w:t>
      </w:r>
    </w:p>
    <w:p w:rsidR="003B4B33" w:rsidRDefault="00F1594B">
      <w:pPr>
        <w:pStyle w:val="Heading4"/>
        <w:rPr>
          <w:rStyle w:val="Heading3Char"/>
          <w:color w:val="auto"/>
        </w:rPr>
      </w:pPr>
      <w:r>
        <w:rPr>
          <w:rStyle w:val="Heading3Char"/>
          <w:color w:val="auto"/>
        </w:rPr>
        <w:t>Cronologías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La decisión de la audiencia no ocurrirá en la audiencia.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Los servicios continuados deben ser autorizados hasta que se emita la decisión.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 xml:space="preserve">La decisión debe ser emitida en un plazo de 90 días desde la fecha en que la solicitud de apelación es recibida (puede extenderse tantos días como la audiencia sea pospuesta o </w:t>
      </w:r>
      <w:r>
        <w:t>dársele un receso a solicitud del que apela).</w:t>
      </w:r>
    </w:p>
    <w:p w:rsidR="003B4B33" w:rsidRDefault="00F1594B">
      <w:pPr>
        <w:rPr>
          <w:rStyle w:val="Heading3Char"/>
          <w:rFonts w:asciiTheme="minorHAnsi" w:hAnsiTheme="minorHAnsi" w:cstheme="minorHAnsi"/>
          <w:color w:val="auto"/>
        </w:rPr>
      </w:pPr>
      <w:r>
        <w:rPr>
          <w:rStyle w:val="Heading3Char"/>
          <w:rFonts w:asciiTheme="minorHAnsi" w:hAnsiTheme="minorHAnsi" w:cstheme="minorHAnsi"/>
          <w:color w:val="auto"/>
        </w:rPr>
        <w:t>La decisión de la audiencia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Debe estar escrita, y será enviada a usted por correo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Gane o pierda, una nueva solicitud de servicios debe ser enviada si el servicio es un servicio autorizado previo recurrente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El reenvío debería establecer las necesidades y condiciones actuales</w:t>
      </w:r>
    </w:p>
    <w:p w:rsidR="003B4B33" w:rsidRDefault="00F1594B">
      <w:pPr>
        <w:pStyle w:val="Heading3"/>
        <w:rPr>
          <w:rStyle w:val="Heading3Char"/>
          <w:b/>
          <w:caps/>
          <w:color w:val="auto"/>
        </w:rPr>
      </w:pPr>
      <w:r>
        <w:rPr>
          <w:rStyle w:val="Heading3Char"/>
          <w:b/>
          <w:caps/>
          <w:color w:val="auto"/>
        </w:rPr>
        <w:t>POSTERIOR A LA AUDICIÓN</w:t>
      </w:r>
    </w:p>
    <w:p w:rsidR="003B4B33" w:rsidRDefault="00F1594B">
      <w:pPr>
        <w:pStyle w:val="Heading4"/>
        <w:rPr>
          <w:rStyle w:val="Heading3Char"/>
          <w:color w:val="auto"/>
        </w:rPr>
      </w:pPr>
      <w:r>
        <w:rPr>
          <w:rStyle w:val="Heading3Char"/>
          <w:color w:val="auto"/>
        </w:rPr>
        <w:t>Recursos si usted pierde la audiencia justa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Reenviar (debido a cambio de condiciones o necesidades o con mejor documentación)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Solicitud de que la audiencia sea rea</w:t>
      </w:r>
      <w:r>
        <w:t>bierta (dentro de un año de la decisión; debe mostrar que hay evidencia nueva que no fue ofrecida en la audición, de que la nueva evidencia habría afectado el resultado, y que, por lo tanto, la decisión es inválida)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lastRenderedPageBreak/>
        <w:t>Solicitud de una decisión enmendada y em</w:t>
      </w:r>
      <w:r>
        <w:t>itida nuevamente (en 20 días después de que se emita la decisión)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Solicitud de revisión administrativa de la decisión (con matasellos no posterior al día 30 después de la fecha de la decisión) (prerrequisito para procurar revisión judicial)</w:t>
      </w:r>
    </w:p>
    <w:p w:rsidR="003B4B33" w:rsidRDefault="00F1594B">
      <w:pPr>
        <w:pStyle w:val="P68B1DB1-ListParagraph3"/>
        <w:numPr>
          <w:ilvl w:val="0"/>
          <w:numId w:val="1"/>
        </w:numPr>
      </w:pPr>
      <w:r>
        <w:t>Solicitar revis</w:t>
      </w:r>
      <w:r>
        <w:t>ión judicial en el tribunal de distrito en el Condado de Travis en fecha no posterior al día 30 después de la fecha de la notificación de la decisión final.</w:t>
      </w:r>
    </w:p>
    <w:sectPr w:rsidR="003B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4273"/>
    <w:multiLevelType w:val="hybridMultilevel"/>
    <w:tmpl w:val="D83281F2"/>
    <w:lvl w:ilvl="0" w:tplc="A4A84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C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8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780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2F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CE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22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6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A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C4AD2"/>
    <w:multiLevelType w:val="hybridMultilevel"/>
    <w:tmpl w:val="560A20D0"/>
    <w:lvl w:ilvl="0" w:tplc="55C027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020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86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60A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AEF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62D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002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AE55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6A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A169AA"/>
    <w:multiLevelType w:val="hybridMultilevel"/>
    <w:tmpl w:val="E996AB1C"/>
    <w:lvl w:ilvl="0" w:tplc="E9D4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6DC6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65D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43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66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0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4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6E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CE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D321E3"/>
    <w:multiLevelType w:val="hybridMultilevel"/>
    <w:tmpl w:val="9558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20CA"/>
    <w:multiLevelType w:val="hybridMultilevel"/>
    <w:tmpl w:val="39AE24AA"/>
    <w:lvl w:ilvl="0" w:tplc="E564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E9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4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68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A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80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43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84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3E2B99"/>
    <w:multiLevelType w:val="hybridMultilevel"/>
    <w:tmpl w:val="95FEBD36"/>
    <w:lvl w:ilvl="0" w:tplc="5FEA1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AB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C7E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F83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EA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48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D0509E"/>
    <w:multiLevelType w:val="hybridMultilevel"/>
    <w:tmpl w:val="08A86384"/>
    <w:lvl w:ilvl="0" w:tplc="21DA0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29E8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8CA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EC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A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66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05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65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E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110EB3"/>
    <w:multiLevelType w:val="hybridMultilevel"/>
    <w:tmpl w:val="5840EE18"/>
    <w:lvl w:ilvl="0" w:tplc="D7E6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6A8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A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C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1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85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A4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85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E53B4E"/>
    <w:multiLevelType w:val="hybridMultilevel"/>
    <w:tmpl w:val="CF626EBA"/>
    <w:lvl w:ilvl="0" w:tplc="4210CB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48E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EDE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02B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60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A49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16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C07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67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E25098"/>
    <w:multiLevelType w:val="hybridMultilevel"/>
    <w:tmpl w:val="48D44D0A"/>
    <w:lvl w:ilvl="0" w:tplc="E3E2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AD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C9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84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80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2E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20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6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61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5653A12"/>
    <w:multiLevelType w:val="hybridMultilevel"/>
    <w:tmpl w:val="0908B89C"/>
    <w:lvl w:ilvl="0" w:tplc="DB5E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8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6D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8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A5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43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E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29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07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0B48F2"/>
    <w:multiLevelType w:val="hybridMultilevel"/>
    <w:tmpl w:val="8448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302C8"/>
    <w:multiLevelType w:val="hybridMultilevel"/>
    <w:tmpl w:val="C2F6D266"/>
    <w:lvl w:ilvl="0" w:tplc="085E4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E69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B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A38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0F2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C96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E4C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19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608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B8"/>
    <w:rsid w:val="003B4B33"/>
    <w:rsid w:val="004163F7"/>
    <w:rsid w:val="005E61B8"/>
    <w:rsid w:val="00804A0A"/>
    <w:rsid w:val="00945E65"/>
    <w:rsid w:val="00DE703A"/>
    <w:rsid w:val="00E41FB8"/>
    <w:rsid w:val="00F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6F59"/>
  <w15:chartTrackingRefBased/>
  <w15:docId w15:val="{EEA5F734-9F53-46C8-A9F4-2A1E495A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4A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1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41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3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04A0A"/>
    <w:rPr>
      <w:rFonts w:asciiTheme="majorHAnsi" w:eastAsiaTheme="majorEastAsia" w:hAnsiTheme="majorHAnsi" w:cstheme="majorBidi"/>
      <w:i/>
      <w:iCs/>
    </w:rPr>
  </w:style>
  <w:style w:type="paragraph" w:customStyle="1" w:styleId="P68B1DB1-Heading11">
    <w:name w:val="P68B1DB1-Heading11"/>
    <w:basedOn w:val="Heading1"/>
    <w:rPr>
      <w:b/>
      <w:color w:val="auto"/>
    </w:rPr>
  </w:style>
  <w:style w:type="paragraph" w:customStyle="1" w:styleId="P68B1DB1-Normal2">
    <w:name w:val="P68B1DB1-Normal2"/>
    <w:basedOn w:val="Normal"/>
    <w:rPr>
      <w:rFonts w:cstheme="minorHAnsi"/>
      <w:sz w:val="24"/>
      <w:szCs w:val="24"/>
    </w:rPr>
  </w:style>
  <w:style w:type="paragraph" w:customStyle="1" w:styleId="P68B1DB1-ListParagraph3">
    <w:name w:val="P68B1DB1-ListParagraph3"/>
    <w:basedOn w:val="ListParagraph"/>
    <w:rPr>
      <w:rFonts w:eastAsiaTheme="majorEastAsia" w:cstheme="minorHAnsi"/>
      <w:sz w:val="24"/>
      <w:szCs w:val="24"/>
    </w:rPr>
  </w:style>
  <w:style w:type="paragraph" w:customStyle="1" w:styleId="P68B1DB1-ListParagraph4">
    <w:name w:val="P68B1DB1-ListParagraph4"/>
    <w:basedOn w:val="ListParagraph"/>
    <w:rPr>
      <w:rFonts w:cstheme="minorHAnsi"/>
      <w:sz w:val="24"/>
      <w:szCs w:val="24"/>
    </w:rPr>
  </w:style>
  <w:style w:type="paragraph" w:customStyle="1" w:styleId="P68B1DB1-Normal5">
    <w:name w:val="P68B1DB1-Normal5"/>
    <w:basedOn w:val="Normal"/>
    <w:rPr>
      <w:rFonts w:eastAsiaTheme="majorEastAsia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3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9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5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6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8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2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2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2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Goodroe</dc:creator>
  <cp:keywords/>
  <dc:description/>
  <cp:lastModifiedBy>Laurel Goodroe</cp:lastModifiedBy>
  <cp:revision>4</cp:revision>
  <dcterms:created xsi:type="dcterms:W3CDTF">2020-10-23T16:07:00Z</dcterms:created>
  <dcterms:modified xsi:type="dcterms:W3CDTF">2020-10-27T16:37:00Z</dcterms:modified>
</cp:coreProperties>
</file>